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9" w:rsidRDefault="00B14E39" w:rsidP="00B14E39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:rsidR="00B14E39" w:rsidRDefault="00B14E39" w:rsidP="00B14E39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 Саха(Якутия)стат обязательна </w:t>
      </w:r>
    </w:p>
    <w:p w:rsidR="00B14E39" w:rsidRDefault="00B14E39" w:rsidP="00B14E39">
      <w:pPr>
        <w:pStyle w:val="Default"/>
        <w:rPr>
          <w:b/>
          <w:bCs/>
          <w:sz w:val="20"/>
          <w:szCs w:val="20"/>
        </w:rPr>
      </w:pPr>
    </w:p>
    <w:p w:rsidR="00B14E39" w:rsidRDefault="00B14E39" w:rsidP="00B14E3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:rsidR="00B14E39" w:rsidRDefault="00B14E39" w:rsidP="00B14E3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ПО </w:t>
      </w:r>
    </w:p>
    <w:p w:rsidR="00B14E39" w:rsidRDefault="00B14E39" w:rsidP="00B14E3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:rsidR="00B14E39" w:rsidRDefault="00B14E39" w:rsidP="00B14E39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САХА(ЯКУТИЯ)СТАТ </w:t>
      </w:r>
    </w:p>
    <w:p w:rsidR="00B14E39" w:rsidRDefault="00B14E39" w:rsidP="00B14E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14E39" w:rsidRPr="00C6210E" w:rsidRDefault="00B14E39" w:rsidP="00B14E39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 xml:space="preserve">ПРЕСС-ВЫПУСК </w:t>
      </w:r>
    </w:p>
    <w:p w:rsidR="00B14E39" w:rsidRPr="00C6210E" w:rsidRDefault="00B14E39" w:rsidP="00B14E39">
      <w:pPr>
        <w:rPr>
          <w:b/>
          <w:shd w:val="clear" w:color="auto" w:fill="FFFFFF"/>
        </w:rPr>
      </w:pPr>
      <w:r>
        <w:t>от 25</w:t>
      </w:r>
      <w:r w:rsidRPr="00B2313D">
        <w:t>.</w:t>
      </w:r>
      <w:r>
        <w:t>11</w:t>
      </w:r>
      <w:r w:rsidRPr="00B2313D">
        <w:t>.201</w:t>
      </w:r>
      <w:r>
        <w:t>9</w:t>
      </w:r>
      <w:r w:rsidRPr="00B2313D">
        <w:t>г.</w:t>
      </w:r>
    </w:p>
    <w:p w:rsidR="00B14E39" w:rsidRDefault="00B14E39" w:rsidP="00B14E39"/>
    <w:p w:rsidR="00B14E39" w:rsidRDefault="00B14E39" w:rsidP="00B14E39">
      <w:pPr>
        <w:spacing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ИНВЕСТИЦИОННАЯ ДЕЯТЕЛЬНОСТЬ</w:t>
      </w:r>
      <w:r w:rsidRPr="0002018B">
        <w:rPr>
          <w:b/>
          <w:color w:val="000000"/>
          <w:sz w:val="26"/>
          <w:szCs w:val="26"/>
        </w:rPr>
        <w:t xml:space="preserve"> </w:t>
      </w:r>
    </w:p>
    <w:p w:rsidR="00B14E39" w:rsidRDefault="00B14E39" w:rsidP="00B14E39">
      <w:pPr>
        <w:spacing w:after="0"/>
        <w:jc w:val="center"/>
        <w:rPr>
          <w:b/>
          <w:color w:val="000000"/>
          <w:sz w:val="26"/>
          <w:szCs w:val="26"/>
        </w:rPr>
      </w:pPr>
      <w:r w:rsidRPr="0002018B">
        <w:rPr>
          <w:b/>
          <w:color w:val="000000"/>
          <w:sz w:val="26"/>
          <w:szCs w:val="26"/>
        </w:rPr>
        <w:t xml:space="preserve">В РЕСПУБЛИКЕ САХА (ЯКУТИЯ) </w:t>
      </w:r>
      <w:r>
        <w:rPr>
          <w:b/>
          <w:color w:val="000000"/>
          <w:sz w:val="26"/>
          <w:szCs w:val="26"/>
        </w:rPr>
        <w:t>за 2013-2018 гг</w:t>
      </w:r>
      <w:r w:rsidRPr="0002018B">
        <w:rPr>
          <w:b/>
          <w:color w:val="000000"/>
          <w:sz w:val="26"/>
          <w:szCs w:val="26"/>
        </w:rPr>
        <w:t>.</w:t>
      </w:r>
    </w:p>
    <w:p w:rsidR="00B14E39" w:rsidRDefault="00B14E39" w:rsidP="00735D19">
      <w:pPr>
        <w:spacing w:before="120" w:after="120"/>
        <w:ind w:firstLine="709"/>
        <w:jc w:val="both"/>
      </w:pPr>
    </w:p>
    <w:p w:rsidR="00343F33" w:rsidRPr="00B04F1A" w:rsidRDefault="00B04F1A" w:rsidP="00735D19">
      <w:pPr>
        <w:spacing w:before="120" w:after="120"/>
        <w:ind w:firstLine="709"/>
        <w:jc w:val="both"/>
      </w:pPr>
      <w:r>
        <w:t>Республика Саха (Якутия)</w:t>
      </w:r>
      <w:r w:rsidR="00FB1904" w:rsidRPr="00B04F1A">
        <w:t xml:space="preserve"> входит в число наиболее перспективных </w:t>
      </w:r>
      <w:r>
        <w:t xml:space="preserve">для инвестиционной деятельности </w:t>
      </w:r>
      <w:r w:rsidR="00FB1904" w:rsidRPr="00B04F1A">
        <w:t>регионов России</w:t>
      </w:r>
      <w:r w:rsidR="00F04783" w:rsidRPr="00B04F1A">
        <w:t>.</w:t>
      </w:r>
      <w:r w:rsidR="003719A0" w:rsidRPr="00B04F1A">
        <w:t xml:space="preserve"> </w:t>
      </w:r>
      <w:r w:rsidR="00343F33" w:rsidRPr="00B04F1A">
        <w:t xml:space="preserve">В настоящее время в республике реализуется несколько мегапроектов в </w:t>
      </w:r>
      <w:r w:rsidR="00485498" w:rsidRPr="00B04F1A">
        <w:t>сфере</w:t>
      </w:r>
      <w:r w:rsidR="00343F33" w:rsidRPr="00B04F1A">
        <w:t xml:space="preserve"> добычи полезных ископаемых и энергетики, создано две территории опережающего развития (ТОР «Индустриальный парк «Кангалассы» и ТОР «Южная Якутия»)</w:t>
      </w:r>
      <w:r w:rsidR="00485498" w:rsidRPr="00B04F1A">
        <w:t>, что позволило ей</w:t>
      </w:r>
      <w:r w:rsidR="0043600F" w:rsidRPr="00B04F1A">
        <w:t xml:space="preserve"> занять лидирующее положение на Дальнем Востоке и</w:t>
      </w:r>
      <w:r w:rsidR="00485498" w:rsidRPr="00B04F1A">
        <w:t xml:space="preserve"> войти в первую десятку регионов России по объему инвестиций в основной капитал.</w:t>
      </w:r>
    </w:p>
    <w:p w:rsidR="00157500" w:rsidRPr="00252D69" w:rsidRDefault="00157500" w:rsidP="00157500">
      <w:pPr>
        <w:spacing w:after="0"/>
        <w:ind w:firstLine="709"/>
        <w:jc w:val="center"/>
        <w:rPr>
          <w:b/>
          <w:color w:val="632423" w:themeColor="accent2" w:themeShade="80"/>
        </w:rPr>
      </w:pPr>
      <w:r w:rsidRPr="00252D69">
        <w:rPr>
          <w:b/>
          <w:color w:val="632423" w:themeColor="accent2" w:themeShade="80"/>
        </w:rPr>
        <w:t>Инвестиции в основной капитал в Республике Саха (Якутия)</w:t>
      </w:r>
    </w:p>
    <w:tbl>
      <w:tblPr>
        <w:tblStyle w:val="-11"/>
        <w:tblW w:w="0" w:type="auto"/>
        <w:tblLook w:val="04A0"/>
      </w:tblPr>
      <w:tblGrid>
        <w:gridCol w:w="3011"/>
        <w:gridCol w:w="1134"/>
        <w:gridCol w:w="1134"/>
        <w:gridCol w:w="1134"/>
        <w:gridCol w:w="1134"/>
        <w:gridCol w:w="1134"/>
        <w:gridCol w:w="1173"/>
      </w:tblGrid>
      <w:tr w:rsidR="00291847" w:rsidRPr="00252D69" w:rsidTr="00BE08CF">
        <w:trPr>
          <w:cnfStyle w:val="1000000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291847" w:rsidRPr="00252D69" w:rsidRDefault="00291847" w:rsidP="00291847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291847" w:rsidRPr="00252D69" w:rsidRDefault="00291847" w:rsidP="0029184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291847" w:rsidRPr="00252D69" w:rsidRDefault="00291847" w:rsidP="0029184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291847" w:rsidRPr="00252D69" w:rsidRDefault="00291847" w:rsidP="0029184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291847" w:rsidRPr="00252D69" w:rsidRDefault="00291847" w:rsidP="0029184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291847" w:rsidRPr="00252D69" w:rsidRDefault="00291847" w:rsidP="0029184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2017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291847" w:rsidRPr="00252D69" w:rsidRDefault="00291847" w:rsidP="0029184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2018</w:t>
            </w:r>
            <w:r w:rsidR="0038329E" w:rsidRPr="00252D69">
              <w:rPr>
                <w:color w:val="632423" w:themeColor="accent2" w:themeShade="80"/>
              </w:rPr>
              <w:t xml:space="preserve"> </w:t>
            </w:r>
            <w:r w:rsidRPr="00252D69">
              <w:rPr>
                <w:color w:val="632423" w:themeColor="accent2" w:themeShade="80"/>
                <w:vertAlign w:val="superscript"/>
              </w:rPr>
              <w:t>1)</w:t>
            </w:r>
          </w:p>
        </w:tc>
      </w:tr>
      <w:tr w:rsidR="00F74E17" w:rsidRPr="00252D69" w:rsidTr="00BE08CF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F74E17" w:rsidRPr="00252D69" w:rsidRDefault="00F74E17" w:rsidP="00B7523D">
            <w:pPr>
              <w:rPr>
                <w:b w:val="0"/>
                <w:color w:val="632423" w:themeColor="accent2" w:themeShade="80"/>
              </w:rPr>
            </w:pPr>
            <w:r w:rsidRPr="00252D69">
              <w:rPr>
                <w:b w:val="0"/>
                <w:color w:val="632423" w:themeColor="accent2" w:themeShade="80"/>
              </w:rPr>
              <w:t>Инвестиции в основной капитал, млн. рублей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F74E17" w:rsidRPr="00252D69" w:rsidRDefault="00F74E17" w:rsidP="00F74E1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193</w:t>
            </w:r>
            <w:r w:rsidR="009A184E"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 xml:space="preserve">947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F74E17" w:rsidRPr="00252D69" w:rsidRDefault="00F74E17" w:rsidP="00F74E1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181</w:t>
            </w:r>
            <w:r w:rsidR="009A184E"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 xml:space="preserve">172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F74E17" w:rsidRPr="00252D69" w:rsidRDefault="00F74E17" w:rsidP="00F74E1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198</w:t>
            </w:r>
            <w:r w:rsidR="009A184E"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 xml:space="preserve">032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F74E17" w:rsidRPr="00252D69" w:rsidRDefault="00F74E17" w:rsidP="00F74E1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275</w:t>
            </w:r>
            <w:r w:rsidR="009A184E"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>576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F74E17" w:rsidRPr="00252D69" w:rsidRDefault="00F74E17" w:rsidP="00F74E1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386</w:t>
            </w:r>
            <w:r w:rsidR="009A184E"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>790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F74E17" w:rsidRPr="00252D69" w:rsidRDefault="00F74E17" w:rsidP="00F74E1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403</w:t>
            </w:r>
            <w:r w:rsidR="009A184E"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>427</w:t>
            </w:r>
          </w:p>
        </w:tc>
      </w:tr>
      <w:tr w:rsidR="00F74E17" w:rsidRPr="00252D69" w:rsidTr="00BE08CF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F74E17" w:rsidRPr="00252D69" w:rsidRDefault="00F74E17" w:rsidP="0043600F">
            <w:pPr>
              <w:ind w:left="284"/>
              <w:rPr>
                <w:b w:val="0"/>
                <w:i/>
                <w:color w:val="632423" w:themeColor="accent2" w:themeShade="80"/>
              </w:rPr>
            </w:pPr>
            <w:r w:rsidRPr="00252D69">
              <w:rPr>
                <w:b w:val="0"/>
                <w:i/>
                <w:color w:val="632423" w:themeColor="accent2" w:themeShade="80"/>
              </w:rPr>
              <w:t>Место РС(Я) в РФ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bottom"/>
          </w:tcPr>
          <w:p w:rsidR="00F74E17" w:rsidRPr="00252D69" w:rsidRDefault="00F74E17" w:rsidP="00F74E17">
            <w:pPr>
              <w:jc w:val="right"/>
              <w:cnfStyle w:val="0000000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20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bottom"/>
          </w:tcPr>
          <w:p w:rsidR="00F74E17" w:rsidRPr="00252D69" w:rsidRDefault="00F74E17" w:rsidP="00F74E17">
            <w:pPr>
              <w:jc w:val="right"/>
              <w:cnfStyle w:val="0000000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23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bottom"/>
          </w:tcPr>
          <w:p w:rsidR="00F74E17" w:rsidRPr="00252D69" w:rsidRDefault="00F74E17" w:rsidP="00F74E17">
            <w:pPr>
              <w:jc w:val="right"/>
              <w:cnfStyle w:val="0000000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20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bottom"/>
          </w:tcPr>
          <w:p w:rsidR="00F74E17" w:rsidRPr="00252D69" w:rsidRDefault="00F74E17" w:rsidP="00F74E17">
            <w:pPr>
              <w:jc w:val="right"/>
              <w:cnfStyle w:val="0000000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11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bottom"/>
          </w:tcPr>
          <w:p w:rsidR="00F74E17" w:rsidRPr="00252D69" w:rsidRDefault="00F74E17" w:rsidP="00F74E17">
            <w:pPr>
              <w:jc w:val="right"/>
              <w:cnfStyle w:val="0000000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8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vAlign w:val="bottom"/>
          </w:tcPr>
          <w:p w:rsidR="00F74E17" w:rsidRPr="00252D69" w:rsidRDefault="00F74E17" w:rsidP="00F74E17">
            <w:pPr>
              <w:jc w:val="right"/>
              <w:cnfStyle w:val="0000000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9</w:t>
            </w:r>
          </w:p>
        </w:tc>
      </w:tr>
      <w:tr w:rsidR="00F74E17" w:rsidRPr="00252D69" w:rsidTr="00BE08CF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F74E17" w:rsidRPr="00252D69" w:rsidRDefault="00F74E17" w:rsidP="0043600F">
            <w:pPr>
              <w:ind w:left="284"/>
              <w:rPr>
                <w:b w:val="0"/>
                <w:i/>
                <w:color w:val="632423" w:themeColor="accent2" w:themeShade="80"/>
              </w:rPr>
            </w:pPr>
            <w:r w:rsidRPr="00252D69">
              <w:rPr>
                <w:b w:val="0"/>
                <w:i/>
                <w:color w:val="632423" w:themeColor="accent2" w:themeShade="80"/>
              </w:rPr>
              <w:t>Место РС(Я) в ДВФО</w:t>
            </w:r>
            <w:r w:rsidR="00E403D1" w:rsidRPr="00E403D1">
              <w:rPr>
                <w:b w:val="0"/>
                <w:i/>
                <w:color w:val="632423" w:themeColor="accent2" w:themeShade="8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F74E17" w:rsidRPr="00252D69" w:rsidRDefault="0043600F" w:rsidP="00E8583B">
            <w:pPr>
              <w:jc w:val="right"/>
              <w:cnfStyle w:val="0000001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F74E17" w:rsidRPr="00252D69" w:rsidRDefault="0043600F" w:rsidP="00E8583B">
            <w:pPr>
              <w:jc w:val="right"/>
              <w:cnfStyle w:val="0000001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F74E17" w:rsidRPr="00252D69" w:rsidRDefault="0043600F" w:rsidP="00E8583B">
            <w:pPr>
              <w:jc w:val="right"/>
              <w:cnfStyle w:val="0000001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F74E17" w:rsidRPr="00252D69" w:rsidRDefault="0043600F" w:rsidP="00E8583B">
            <w:pPr>
              <w:jc w:val="right"/>
              <w:cnfStyle w:val="0000001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F74E17" w:rsidRPr="00252D69" w:rsidRDefault="0043600F" w:rsidP="00E8583B">
            <w:pPr>
              <w:jc w:val="right"/>
              <w:cnfStyle w:val="0000001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1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F74E17" w:rsidRPr="00252D69" w:rsidRDefault="0043600F" w:rsidP="00E8583B">
            <w:pPr>
              <w:jc w:val="right"/>
              <w:cnfStyle w:val="000000100000"/>
              <w:rPr>
                <w:i/>
                <w:color w:val="632423" w:themeColor="accent2" w:themeShade="80"/>
              </w:rPr>
            </w:pPr>
            <w:r w:rsidRPr="00252D69">
              <w:rPr>
                <w:i/>
                <w:color w:val="632423" w:themeColor="accent2" w:themeShade="80"/>
              </w:rPr>
              <w:t>1</w:t>
            </w:r>
          </w:p>
        </w:tc>
      </w:tr>
      <w:tr w:rsidR="0043600F" w:rsidRPr="00252D69" w:rsidTr="00BE08CF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3600F" w:rsidRPr="00252D69" w:rsidRDefault="0043600F" w:rsidP="0043600F">
            <w:pPr>
              <w:rPr>
                <w:b w:val="0"/>
                <w:color w:val="632423" w:themeColor="accent2" w:themeShade="80"/>
              </w:rPr>
            </w:pPr>
            <w:r w:rsidRPr="00252D69">
              <w:rPr>
                <w:b w:val="0"/>
                <w:color w:val="632423" w:themeColor="accent2" w:themeShade="80"/>
              </w:rPr>
              <w:t>В расчете на душу населения, рублей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3600F" w:rsidRPr="00252D69" w:rsidRDefault="0043600F" w:rsidP="008A3632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203</w:t>
            </w:r>
            <w:r w:rsidR="009A184E">
              <w:rPr>
                <w:color w:val="632423" w:themeColor="accent2" w:themeShade="80"/>
              </w:rPr>
              <w:t xml:space="preserve"> </w:t>
            </w:r>
            <w:r w:rsidRPr="00252D69">
              <w:rPr>
                <w:color w:val="632423" w:themeColor="accent2" w:themeShade="80"/>
              </w:rPr>
              <w:t xml:space="preserve">045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3600F" w:rsidRPr="00252D69" w:rsidRDefault="0043600F" w:rsidP="008A3632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189</w:t>
            </w:r>
            <w:r w:rsidR="009A184E">
              <w:rPr>
                <w:color w:val="632423" w:themeColor="accent2" w:themeShade="80"/>
              </w:rPr>
              <w:t xml:space="preserve"> </w:t>
            </w:r>
            <w:r w:rsidRPr="00252D69">
              <w:rPr>
                <w:color w:val="632423" w:themeColor="accent2" w:themeShade="80"/>
              </w:rPr>
              <w:t xml:space="preserve">540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3600F" w:rsidRPr="00252D69" w:rsidRDefault="0043600F" w:rsidP="008A3632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206</w:t>
            </w:r>
            <w:r w:rsidR="009A184E">
              <w:rPr>
                <w:color w:val="632423" w:themeColor="accent2" w:themeShade="80"/>
              </w:rPr>
              <w:t xml:space="preserve"> </w:t>
            </w:r>
            <w:r w:rsidRPr="00252D69">
              <w:rPr>
                <w:color w:val="632423" w:themeColor="accent2" w:themeShade="80"/>
              </w:rPr>
              <w:t xml:space="preserve">651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3600F" w:rsidRPr="00252D69" w:rsidRDefault="0043600F" w:rsidP="008A3632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286</w:t>
            </w:r>
            <w:r w:rsidR="009A184E">
              <w:rPr>
                <w:color w:val="632423" w:themeColor="accent2" w:themeShade="80"/>
              </w:rPr>
              <w:t xml:space="preserve"> </w:t>
            </w:r>
            <w:r w:rsidRPr="00252D69">
              <w:rPr>
                <w:color w:val="632423" w:themeColor="accent2" w:themeShade="80"/>
              </w:rPr>
              <w:t xml:space="preserve">682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3600F" w:rsidRPr="00252D69" w:rsidRDefault="0043600F" w:rsidP="008A3632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401</w:t>
            </w:r>
            <w:r w:rsidR="009A184E">
              <w:rPr>
                <w:color w:val="632423" w:themeColor="accent2" w:themeShade="80"/>
              </w:rPr>
              <w:t xml:space="preserve"> </w:t>
            </w:r>
            <w:r w:rsidRPr="00252D69">
              <w:rPr>
                <w:color w:val="632423" w:themeColor="accent2" w:themeShade="80"/>
              </w:rPr>
              <w:t>409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3600F" w:rsidRPr="00252D69" w:rsidRDefault="0043600F" w:rsidP="008A3632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417</w:t>
            </w:r>
            <w:r w:rsidR="009A184E">
              <w:rPr>
                <w:color w:val="632423" w:themeColor="accent2" w:themeShade="80"/>
              </w:rPr>
              <w:t xml:space="preserve"> </w:t>
            </w:r>
            <w:r w:rsidRPr="00252D69">
              <w:rPr>
                <w:color w:val="632423" w:themeColor="accent2" w:themeShade="80"/>
              </w:rPr>
              <w:t xml:space="preserve">770 </w:t>
            </w:r>
          </w:p>
        </w:tc>
      </w:tr>
      <w:tr w:rsidR="008A3632" w:rsidRPr="00252D69" w:rsidTr="00BE08CF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8A3632" w:rsidRPr="00275169" w:rsidRDefault="008A3632" w:rsidP="008A3632">
            <w:pPr>
              <w:ind w:left="284"/>
              <w:rPr>
                <w:b w:val="0"/>
                <w:i/>
                <w:color w:val="632423" w:themeColor="accent2" w:themeShade="80"/>
              </w:rPr>
            </w:pPr>
            <w:r w:rsidRPr="00275169">
              <w:rPr>
                <w:b w:val="0"/>
                <w:i/>
                <w:color w:val="632423" w:themeColor="accent2" w:themeShade="80"/>
              </w:rPr>
              <w:t>Справочно: по РФ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center"/>
          </w:tcPr>
          <w:p w:rsidR="008A3632" w:rsidRPr="00275169" w:rsidRDefault="008A3632" w:rsidP="008A3632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93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725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center"/>
          </w:tcPr>
          <w:p w:rsidR="008A3632" w:rsidRPr="00275169" w:rsidRDefault="008A3632" w:rsidP="008A3632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95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165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center"/>
          </w:tcPr>
          <w:p w:rsidR="008A3632" w:rsidRPr="00275169" w:rsidRDefault="008A3632" w:rsidP="008A3632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94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922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center"/>
          </w:tcPr>
          <w:p w:rsidR="008A3632" w:rsidRPr="00275169" w:rsidRDefault="008A3632" w:rsidP="008A3632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100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555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center"/>
          </w:tcPr>
          <w:p w:rsidR="008A3632" w:rsidRPr="00275169" w:rsidRDefault="008A3632" w:rsidP="008A3632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109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>146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center"/>
          </w:tcPr>
          <w:p w:rsidR="008A3632" w:rsidRPr="00275169" w:rsidRDefault="008A3632" w:rsidP="008A3632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119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832 </w:t>
            </w:r>
          </w:p>
        </w:tc>
      </w:tr>
      <w:tr w:rsidR="008A3632" w:rsidRPr="00252D69" w:rsidTr="00BE08CF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8A3632" w:rsidRPr="00275169" w:rsidRDefault="008A3632" w:rsidP="008A3632">
            <w:pPr>
              <w:ind w:left="284"/>
              <w:rPr>
                <w:b w:val="0"/>
                <w:i/>
                <w:color w:val="632423" w:themeColor="accent2" w:themeShade="80"/>
              </w:rPr>
            </w:pPr>
            <w:r w:rsidRPr="00275169">
              <w:rPr>
                <w:b w:val="0"/>
                <w:i/>
                <w:color w:val="632423" w:themeColor="accent2" w:themeShade="80"/>
              </w:rPr>
              <w:t>Справочно:  по ДВФО</w:t>
            </w:r>
            <w:r w:rsidR="00E403D1" w:rsidRPr="00275169">
              <w:rPr>
                <w:b w:val="0"/>
                <w:i/>
                <w:color w:val="632423" w:themeColor="accent2" w:themeShade="8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A3632" w:rsidRPr="00275169" w:rsidRDefault="008A3632" w:rsidP="008A363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135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027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A3632" w:rsidRPr="00275169" w:rsidRDefault="008A3632" w:rsidP="008A363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130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339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A3632" w:rsidRPr="00275169" w:rsidRDefault="008A3632" w:rsidP="008A363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145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911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A3632" w:rsidRPr="00275169" w:rsidRDefault="008A3632" w:rsidP="008A363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161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707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A3632" w:rsidRPr="00275169" w:rsidRDefault="008A3632" w:rsidP="008A363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186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>206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8A3632" w:rsidRPr="00275169" w:rsidRDefault="008A3632" w:rsidP="008A363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275169">
              <w:rPr>
                <w:bCs/>
                <w:i/>
                <w:color w:val="632423" w:themeColor="accent2" w:themeShade="80"/>
              </w:rPr>
              <w:t>169</w:t>
            </w:r>
            <w:r w:rsidR="009A184E">
              <w:rPr>
                <w:bCs/>
                <w:i/>
                <w:color w:val="632423" w:themeColor="accent2" w:themeShade="80"/>
              </w:rPr>
              <w:t xml:space="preserve"> </w:t>
            </w:r>
            <w:r w:rsidRPr="00275169">
              <w:rPr>
                <w:bCs/>
                <w:i/>
                <w:color w:val="632423" w:themeColor="accent2" w:themeShade="80"/>
              </w:rPr>
              <w:t xml:space="preserve">941 </w:t>
            </w:r>
          </w:p>
        </w:tc>
      </w:tr>
      <w:tr w:rsidR="00E403D1" w:rsidRPr="00252D69" w:rsidTr="00BE08CF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E403D1" w:rsidRPr="00E403D1" w:rsidRDefault="00E403D1" w:rsidP="00252D69">
            <w:pPr>
              <w:rPr>
                <w:b w:val="0"/>
                <w:color w:val="632423" w:themeColor="accent2" w:themeShade="80"/>
              </w:rPr>
            </w:pPr>
            <w:r w:rsidRPr="00E403D1">
              <w:rPr>
                <w:b w:val="0"/>
                <w:color w:val="632423" w:themeColor="accent2" w:themeShade="80"/>
              </w:rPr>
              <w:t>Доля РС(Я) в РФ</w:t>
            </w:r>
            <w:r>
              <w:rPr>
                <w:b w:val="0"/>
                <w:color w:val="632423" w:themeColor="accent2" w:themeShade="80"/>
              </w:rPr>
              <w:t>, %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1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1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1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1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1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1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1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1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1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2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4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1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2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3</w:t>
            </w:r>
          </w:p>
        </w:tc>
      </w:tr>
      <w:tr w:rsidR="00E403D1" w:rsidRPr="00252D69" w:rsidTr="00BE08CF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E403D1" w:rsidRPr="00E403D1" w:rsidRDefault="00E403D1" w:rsidP="00252D69">
            <w:pPr>
              <w:rPr>
                <w:b w:val="0"/>
                <w:color w:val="632423" w:themeColor="accent2" w:themeShade="80"/>
              </w:rPr>
            </w:pPr>
            <w:r w:rsidRPr="00E403D1">
              <w:rPr>
                <w:b w:val="0"/>
                <w:color w:val="632423" w:themeColor="accent2" w:themeShade="80"/>
              </w:rPr>
              <w:t>Доля РС(Я) в ДВФО</w:t>
            </w:r>
            <w:r>
              <w:rPr>
                <w:b w:val="0"/>
                <w:color w:val="632423" w:themeColor="accent2" w:themeShade="80"/>
              </w:rPr>
              <w:t>, %</w:t>
            </w:r>
            <w:r w:rsidRPr="00E403D1">
              <w:rPr>
                <w:b w:val="0"/>
                <w:color w:val="632423" w:themeColor="accent2" w:themeShade="8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23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22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21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27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33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6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403D1" w:rsidRPr="00E403D1" w:rsidRDefault="00E403D1">
            <w:pPr>
              <w:jc w:val="right"/>
              <w:cnfStyle w:val="000000000000"/>
              <w:rPr>
                <w:color w:val="632423" w:themeColor="accent2" w:themeShade="80"/>
              </w:rPr>
            </w:pPr>
            <w:r w:rsidRPr="00E403D1">
              <w:rPr>
                <w:color w:val="632423" w:themeColor="accent2" w:themeShade="80"/>
              </w:rPr>
              <w:t>28</w:t>
            </w:r>
            <w:r w:rsidR="00E27284">
              <w:rPr>
                <w:color w:val="632423" w:themeColor="accent2" w:themeShade="80"/>
              </w:rPr>
              <w:t>,</w:t>
            </w:r>
            <w:r w:rsidRPr="00E403D1">
              <w:rPr>
                <w:color w:val="632423" w:themeColor="accent2" w:themeShade="80"/>
              </w:rPr>
              <w:t>9</w:t>
            </w:r>
          </w:p>
        </w:tc>
      </w:tr>
      <w:tr w:rsidR="00E403D1" w:rsidRPr="00252D69" w:rsidTr="00BE08CF">
        <w:trPr>
          <w:cnfStyle w:val="000000100000"/>
        </w:trPr>
        <w:tc>
          <w:tcPr>
            <w:cnfStyle w:val="001000000000"/>
            <w:tcW w:w="9854" w:type="dxa"/>
            <w:gridSpan w:val="7"/>
            <w:tcBorders>
              <w:top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</w:tcPr>
          <w:p w:rsidR="00E403D1" w:rsidRDefault="00E403D1" w:rsidP="00485498">
            <w:pPr>
              <w:jc w:val="both"/>
              <w:rPr>
                <w:b w:val="0"/>
                <w:color w:val="632423" w:themeColor="accent2" w:themeShade="80"/>
                <w:sz w:val="18"/>
              </w:rPr>
            </w:pPr>
            <w:r w:rsidRPr="00252D69">
              <w:rPr>
                <w:b w:val="0"/>
                <w:color w:val="632423" w:themeColor="accent2" w:themeShade="80"/>
                <w:sz w:val="18"/>
                <w:vertAlign w:val="superscript"/>
              </w:rPr>
              <w:t>1)</w:t>
            </w:r>
            <w:r w:rsidRPr="00252D69">
              <w:rPr>
                <w:b w:val="0"/>
                <w:color w:val="632423" w:themeColor="accent2" w:themeShade="80"/>
                <w:sz w:val="18"/>
              </w:rPr>
              <w:t xml:space="preserve"> Предварительные данные.</w:t>
            </w:r>
          </w:p>
          <w:p w:rsidR="00E403D1" w:rsidRPr="00252D69" w:rsidRDefault="00E403D1" w:rsidP="00BE08CF">
            <w:pPr>
              <w:rPr>
                <w:b w:val="0"/>
                <w:color w:val="632423" w:themeColor="accent2" w:themeShade="80"/>
              </w:rPr>
            </w:pPr>
            <w:r w:rsidRPr="00E403D1">
              <w:rPr>
                <w:b w:val="0"/>
                <w:color w:val="632423" w:themeColor="accent2" w:themeShade="80"/>
                <w:sz w:val="18"/>
                <w:vertAlign w:val="superscript"/>
              </w:rPr>
              <w:t>2)</w:t>
            </w:r>
            <w:r w:rsidRPr="00E403D1">
              <w:rPr>
                <w:b w:val="0"/>
                <w:color w:val="632423" w:themeColor="accent2" w:themeShade="80"/>
                <w:sz w:val="18"/>
              </w:rPr>
              <w:t xml:space="preserve"> Начиная с данных за 2018 г. информация по Республике Бурятия и Забайкальскому краю включена в итог по Дальневосточному федеральному округу (в соответствии с Указом Президента Российской Федерации от 03.11.2018 г. №632).</w:t>
            </w:r>
          </w:p>
        </w:tc>
      </w:tr>
    </w:tbl>
    <w:p w:rsidR="00B55AC2" w:rsidRDefault="00B55AC2" w:rsidP="00B55AC2">
      <w:pPr>
        <w:spacing w:before="120" w:after="120"/>
        <w:ind w:firstLine="709"/>
        <w:jc w:val="both"/>
        <w:rPr>
          <w:color w:val="632423" w:themeColor="accent2" w:themeShade="80"/>
        </w:rPr>
      </w:pPr>
      <w:r>
        <w:rPr>
          <w:szCs w:val="32"/>
        </w:rPr>
        <w:t>В 2017 г.</w:t>
      </w:r>
      <w:r>
        <w:rPr>
          <w:rStyle w:val="af0"/>
          <w:szCs w:val="32"/>
        </w:rPr>
        <w:footnoteReference w:id="2"/>
      </w:r>
      <w:r>
        <w:rPr>
          <w:szCs w:val="32"/>
        </w:rPr>
        <w:t xml:space="preserve"> </w:t>
      </w:r>
      <w:r w:rsidRPr="00AD10FA">
        <w:rPr>
          <w:b/>
          <w:szCs w:val="32"/>
        </w:rPr>
        <w:t>доля инвестиций в основной капитал в ВРП</w:t>
      </w:r>
      <w:r>
        <w:rPr>
          <w:szCs w:val="32"/>
        </w:rPr>
        <w:t xml:space="preserve"> республики составила 42,2%, увеличившись по сравнению с предыдущим годом на 10,3 п.п., по сравнению с 2013 г. – на 8,2 п.п.  По данному показателю в 2017 г. республика занимала </w:t>
      </w:r>
      <w:r w:rsidRPr="00857985">
        <w:rPr>
          <w:i/>
          <w:szCs w:val="32"/>
          <w:u w:val="single"/>
        </w:rPr>
        <w:t>второе место</w:t>
      </w:r>
      <w:r>
        <w:rPr>
          <w:szCs w:val="32"/>
        </w:rPr>
        <w:t xml:space="preserve"> на Дальнем Востоке и </w:t>
      </w:r>
      <w:r w:rsidRPr="00857985">
        <w:rPr>
          <w:i/>
          <w:szCs w:val="32"/>
          <w:u w:val="single"/>
        </w:rPr>
        <w:t>четвертое место</w:t>
      </w:r>
      <w:r>
        <w:rPr>
          <w:szCs w:val="32"/>
        </w:rPr>
        <w:t xml:space="preserve"> в Российской Федерации после Амурской области (строительство космодрома «Восточный»), г. Севастополь и Республики Крым. </w:t>
      </w:r>
    </w:p>
    <w:p w:rsidR="00E8328C" w:rsidRDefault="00F656B4" w:rsidP="00275169">
      <w:pPr>
        <w:keepNext/>
        <w:spacing w:after="0"/>
        <w:jc w:val="center"/>
      </w:pPr>
      <w:r w:rsidRPr="00F656B4">
        <w:rPr>
          <w:noProof/>
        </w:rPr>
        <w:lastRenderedPageBreak/>
        <w:drawing>
          <wp:inline distT="0" distB="0" distL="0" distR="0">
            <wp:extent cx="5791200" cy="2905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48EB" w:rsidRPr="00275169" w:rsidRDefault="00275169" w:rsidP="00E8328C">
      <w:pPr>
        <w:pStyle w:val="ad"/>
        <w:jc w:val="center"/>
        <w:rPr>
          <w:color w:val="632423" w:themeColor="accent2" w:themeShade="80"/>
        </w:rPr>
      </w:pPr>
      <w:r>
        <w:rPr>
          <w:color w:val="632423" w:themeColor="accent2" w:themeShade="80"/>
        </w:rPr>
        <w:t>Валовой региональный продукт и инвестиции</w:t>
      </w:r>
      <w:r w:rsidR="00E8328C" w:rsidRPr="00275169">
        <w:rPr>
          <w:color w:val="632423" w:themeColor="accent2" w:themeShade="80"/>
        </w:rPr>
        <w:t xml:space="preserve"> в основной капитал, млн. рублей</w:t>
      </w:r>
    </w:p>
    <w:p w:rsidR="00CC342B" w:rsidRPr="00616EAA" w:rsidRDefault="00CC342B" w:rsidP="00CC342B">
      <w:pPr>
        <w:spacing w:before="120" w:after="120"/>
        <w:ind w:firstLine="709"/>
        <w:jc w:val="both"/>
        <w:rPr>
          <w:szCs w:val="32"/>
        </w:rPr>
      </w:pPr>
      <w:r w:rsidRPr="00904DD3">
        <w:rPr>
          <w:szCs w:val="32"/>
        </w:rPr>
        <w:t>Объем</w:t>
      </w:r>
      <w:r>
        <w:rPr>
          <w:b/>
          <w:szCs w:val="32"/>
        </w:rPr>
        <w:t xml:space="preserve"> инвестиций</w:t>
      </w:r>
      <w:r w:rsidRPr="00616EAA">
        <w:rPr>
          <w:b/>
          <w:szCs w:val="32"/>
        </w:rPr>
        <w:t xml:space="preserve"> в основной капитал </w:t>
      </w:r>
      <w:r w:rsidRPr="00616EAA">
        <w:rPr>
          <w:szCs w:val="32"/>
        </w:rPr>
        <w:t xml:space="preserve">в 2013-2014 гг. </w:t>
      </w:r>
      <w:r>
        <w:rPr>
          <w:szCs w:val="32"/>
        </w:rPr>
        <w:t>снизился</w:t>
      </w:r>
      <w:r w:rsidRPr="00616EAA">
        <w:rPr>
          <w:szCs w:val="32"/>
        </w:rPr>
        <w:t xml:space="preserve"> после окончания строительства  </w:t>
      </w:r>
      <w:r>
        <w:rPr>
          <w:szCs w:val="32"/>
        </w:rPr>
        <w:t>нефтепроводной системы «Восточная Сибирь – Тихий Океан». В конце 2014 г. было начато строительство магистрального газопровода «Сила Сибири» и Якутской ГРЭС-2, и в 2015 г. объем инвестиций в абсолютном выражении начал расти, однако высокий уровень цен на фоне мирового финансового кризиса, повлиял на снижение индекса физического объема.</w:t>
      </w:r>
      <w:r w:rsidR="00936B3F">
        <w:rPr>
          <w:szCs w:val="32"/>
        </w:rPr>
        <w:t xml:space="preserve"> В 2016-2017 гг. объем инвестиций увеличивался ускоренными темпами благодаря вложениям группы </w:t>
      </w:r>
      <w:r w:rsidR="00F87880">
        <w:rPr>
          <w:szCs w:val="32"/>
        </w:rPr>
        <w:t xml:space="preserve">компаний </w:t>
      </w:r>
      <w:r w:rsidR="00936B3F">
        <w:rPr>
          <w:szCs w:val="32"/>
        </w:rPr>
        <w:t>«Газпром» в строительство магистрального газопровода «Сила Сибири»</w:t>
      </w:r>
      <w:r w:rsidR="00F87880">
        <w:rPr>
          <w:szCs w:val="32"/>
        </w:rPr>
        <w:t>. В 2018 г. индекс физического объема инвестиций в основной капитал составил 101,9%.</w:t>
      </w:r>
    </w:p>
    <w:p w:rsidR="005825C6" w:rsidRPr="007F1DDB" w:rsidRDefault="003E7EF0" w:rsidP="005825C6">
      <w:pPr>
        <w:pStyle w:val="aa"/>
        <w:spacing w:before="120" w:after="120"/>
        <w:ind w:left="0" w:firstLine="709"/>
        <w:contextualSpacing w:val="0"/>
        <w:jc w:val="both"/>
        <w:rPr>
          <w:szCs w:val="32"/>
        </w:rPr>
      </w:pPr>
      <w:r w:rsidRPr="005825C6">
        <w:rPr>
          <w:szCs w:val="32"/>
        </w:rPr>
        <w:t xml:space="preserve">Рассматривая структуру инвестиций в основной капитал </w:t>
      </w:r>
      <w:r w:rsidRPr="007F1DDB">
        <w:rPr>
          <w:b/>
          <w:szCs w:val="32"/>
        </w:rPr>
        <w:t>по формам собственности</w:t>
      </w:r>
      <w:r w:rsidRPr="005825C6">
        <w:rPr>
          <w:szCs w:val="32"/>
        </w:rPr>
        <w:t xml:space="preserve"> заказчиков (инвесторов) </w:t>
      </w:r>
      <w:r w:rsidR="006241DC" w:rsidRPr="005825C6">
        <w:rPr>
          <w:szCs w:val="32"/>
        </w:rPr>
        <w:t>за 2013-2018 гг.</w:t>
      </w:r>
      <w:r w:rsidR="002B2565" w:rsidRPr="005825C6">
        <w:rPr>
          <w:rStyle w:val="af0"/>
          <w:szCs w:val="32"/>
        </w:rPr>
        <w:footnoteReference w:id="3"/>
      </w:r>
      <w:r w:rsidR="006241DC" w:rsidRPr="005825C6">
        <w:rPr>
          <w:szCs w:val="32"/>
        </w:rPr>
        <w:t xml:space="preserve"> можно отметить</w:t>
      </w:r>
      <w:r w:rsidRPr="005825C6">
        <w:rPr>
          <w:szCs w:val="32"/>
        </w:rPr>
        <w:t>,</w:t>
      </w:r>
      <w:r w:rsidR="006241DC" w:rsidRPr="005825C6">
        <w:rPr>
          <w:szCs w:val="32"/>
        </w:rPr>
        <w:t xml:space="preserve"> </w:t>
      </w:r>
      <w:r w:rsidRPr="005825C6">
        <w:rPr>
          <w:szCs w:val="32"/>
        </w:rPr>
        <w:t>что основной объем инвестиций в Респ</w:t>
      </w:r>
      <w:r w:rsidR="00A7066D" w:rsidRPr="005825C6">
        <w:rPr>
          <w:szCs w:val="32"/>
        </w:rPr>
        <w:t>ублике Саха (Якутия) осуществлял</w:t>
      </w:r>
      <w:r w:rsidRPr="005825C6">
        <w:rPr>
          <w:szCs w:val="32"/>
        </w:rPr>
        <w:t xml:space="preserve">ся </w:t>
      </w:r>
      <w:r w:rsidRPr="007F1DDB">
        <w:rPr>
          <w:szCs w:val="32"/>
        </w:rPr>
        <w:t>инвесторами</w:t>
      </w:r>
      <w:r w:rsidR="00D72B8D" w:rsidRPr="007F1DDB">
        <w:rPr>
          <w:szCs w:val="32"/>
        </w:rPr>
        <w:t xml:space="preserve"> </w:t>
      </w:r>
      <w:r w:rsidR="0046138F" w:rsidRPr="007F1DDB">
        <w:rPr>
          <w:szCs w:val="32"/>
        </w:rPr>
        <w:t xml:space="preserve">частной формы собственности. </w:t>
      </w:r>
      <w:r w:rsidR="00D72B8D" w:rsidRPr="007F1DDB">
        <w:rPr>
          <w:szCs w:val="32"/>
        </w:rPr>
        <w:t>Д</w:t>
      </w:r>
      <w:r w:rsidR="0046138F" w:rsidRPr="007F1DDB">
        <w:rPr>
          <w:szCs w:val="32"/>
        </w:rPr>
        <w:t xml:space="preserve">оля частных инвестиций в общем объеме выросла с 49,5% </w:t>
      </w:r>
      <w:r w:rsidR="00D72B8D" w:rsidRPr="007F1DDB">
        <w:rPr>
          <w:szCs w:val="32"/>
        </w:rPr>
        <w:t>в 2013 г. д</w:t>
      </w:r>
      <w:r w:rsidR="0046138F" w:rsidRPr="007F1DDB">
        <w:rPr>
          <w:szCs w:val="32"/>
        </w:rPr>
        <w:t>о 71,2%</w:t>
      </w:r>
      <w:r w:rsidR="00D72B8D" w:rsidRPr="007F1DDB">
        <w:rPr>
          <w:szCs w:val="32"/>
        </w:rPr>
        <w:t xml:space="preserve"> в 2018 г.</w:t>
      </w:r>
      <w:r w:rsidR="00904308" w:rsidRPr="007F1DDB">
        <w:rPr>
          <w:szCs w:val="32"/>
        </w:rPr>
        <w:t xml:space="preserve"> Одновременно сократилась доля инвестиций</w:t>
      </w:r>
      <w:r w:rsidR="00073844" w:rsidRPr="007F1DDB">
        <w:rPr>
          <w:szCs w:val="32"/>
        </w:rPr>
        <w:t xml:space="preserve"> государственной и муниципальной</w:t>
      </w:r>
      <w:r w:rsidR="00904308" w:rsidRPr="007F1DDB">
        <w:rPr>
          <w:szCs w:val="32"/>
        </w:rPr>
        <w:t xml:space="preserve"> формы собственности</w:t>
      </w:r>
      <w:r w:rsidR="004A42B4" w:rsidRPr="007F1DDB">
        <w:rPr>
          <w:szCs w:val="32"/>
        </w:rPr>
        <w:t xml:space="preserve"> </w:t>
      </w:r>
      <w:r w:rsidR="00D72B8D" w:rsidRPr="007F1DDB">
        <w:rPr>
          <w:szCs w:val="32"/>
        </w:rPr>
        <w:t>– с 23,1% до 7,8%</w:t>
      </w:r>
      <w:r w:rsidR="004A42B4" w:rsidRPr="007F1DDB">
        <w:rPr>
          <w:szCs w:val="32"/>
        </w:rPr>
        <w:t xml:space="preserve">. Также </w:t>
      </w:r>
      <w:r w:rsidR="00B84114" w:rsidRPr="007F1DDB">
        <w:rPr>
          <w:szCs w:val="32"/>
        </w:rPr>
        <w:t xml:space="preserve">за рассматриваемый период произошло постепенное снижение </w:t>
      </w:r>
      <w:r w:rsidR="004A42B4" w:rsidRPr="007F1DDB">
        <w:rPr>
          <w:szCs w:val="32"/>
        </w:rPr>
        <w:t>дол</w:t>
      </w:r>
      <w:r w:rsidR="00B84114" w:rsidRPr="007F1DDB">
        <w:rPr>
          <w:szCs w:val="32"/>
        </w:rPr>
        <w:t>и</w:t>
      </w:r>
      <w:r w:rsidR="004A42B4" w:rsidRPr="007F1DDB">
        <w:rPr>
          <w:szCs w:val="32"/>
        </w:rPr>
        <w:t xml:space="preserve"> инвестиций смешанной российской формы собственности </w:t>
      </w:r>
      <w:r w:rsidR="002B2565" w:rsidRPr="007F1DDB">
        <w:rPr>
          <w:szCs w:val="32"/>
        </w:rPr>
        <w:t>– с 25,5% в 2013 г. до 10,4% в 2018 г.</w:t>
      </w:r>
      <w:r w:rsidR="00B84114" w:rsidRPr="007F1DDB">
        <w:rPr>
          <w:szCs w:val="32"/>
        </w:rPr>
        <w:t xml:space="preserve"> </w:t>
      </w:r>
      <w:r w:rsidR="005825C6" w:rsidRPr="007F1DDB">
        <w:rPr>
          <w:szCs w:val="32"/>
        </w:rPr>
        <w:t xml:space="preserve"> Доля иностранной  и совместной российской и иностранной собственности в общем объеме инвестиций за весь рассматриваемый период не превышала 14,1%.  Вместе с тем, необходимо отметить, что с 2013 г. доля увеличилась более чем в 5 раз и в 2018 г. составила 10,7%.</w:t>
      </w:r>
    </w:p>
    <w:p w:rsidR="006241DC" w:rsidRPr="003E7EF0" w:rsidRDefault="006241DC" w:rsidP="003E7EF0">
      <w:pPr>
        <w:pStyle w:val="aa"/>
        <w:spacing w:before="120" w:after="120"/>
        <w:ind w:left="0" w:firstLine="709"/>
        <w:jc w:val="both"/>
        <w:rPr>
          <w:szCs w:val="32"/>
        </w:rPr>
      </w:pPr>
    </w:p>
    <w:p w:rsidR="003E7EF0" w:rsidRDefault="00661010" w:rsidP="003E7EF0">
      <w:pPr>
        <w:pStyle w:val="aa"/>
        <w:keepNext/>
        <w:spacing w:after="120"/>
        <w:ind w:left="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1326543</wp:posOffset>
            </wp:positionH>
            <wp:positionV relativeFrom="paragraph">
              <wp:posOffset>1998179</wp:posOffset>
            </wp:positionV>
            <wp:extent cx="3429828" cy="735496"/>
            <wp:effectExtent l="19050" t="0" r="0" b="0"/>
            <wp:wrapNone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28" cy="7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1DC" w:rsidRPr="006241DC">
        <w:rPr>
          <w:noProof/>
        </w:rPr>
        <w:drawing>
          <wp:inline distT="0" distB="0" distL="0" distR="0">
            <wp:extent cx="5943600" cy="2733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18D1" w:rsidRPr="003E7EF0" w:rsidRDefault="003E7EF0" w:rsidP="003E7EF0">
      <w:pPr>
        <w:pStyle w:val="ad"/>
        <w:jc w:val="center"/>
        <w:rPr>
          <w:color w:val="632423" w:themeColor="accent2" w:themeShade="80"/>
        </w:rPr>
      </w:pPr>
      <w:r w:rsidRPr="003E7EF0">
        <w:rPr>
          <w:color w:val="632423" w:themeColor="accent2" w:themeShade="80"/>
        </w:rPr>
        <w:t>Структура инвестиций в основной капитал по формам собственности</w:t>
      </w:r>
      <w:r>
        <w:rPr>
          <w:color w:val="632423" w:themeColor="accent2" w:themeShade="80"/>
        </w:rPr>
        <w:t>, в % к итогу</w:t>
      </w:r>
    </w:p>
    <w:p w:rsidR="00315DA5" w:rsidRPr="00DC4F27" w:rsidRDefault="008D2679" w:rsidP="00735D19">
      <w:pPr>
        <w:pStyle w:val="aa"/>
        <w:spacing w:before="120" w:after="0"/>
        <w:ind w:left="0" w:firstLine="709"/>
        <w:contextualSpacing w:val="0"/>
        <w:jc w:val="both"/>
        <w:rPr>
          <w:szCs w:val="32"/>
        </w:rPr>
      </w:pPr>
      <w:r>
        <w:rPr>
          <w:szCs w:val="32"/>
        </w:rPr>
        <w:t xml:space="preserve">В структуре инвестиций в основной капитал </w:t>
      </w:r>
      <w:r w:rsidRPr="005825C6">
        <w:rPr>
          <w:b/>
          <w:szCs w:val="32"/>
        </w:rPr>
        <w:t>по видам основных фондов</w:t>
      </w:r>
      <w:r>
        <w:rPr>
          <w:szCs w:val="32"/>
        </w:rPr>
        <w:t xml:space="preserve"> за рассматриваемый период преобладали инвестиции в </w:t>
      </w:r>
      <w:r w:rsidRPr="007F1DDB">
        <w:rPr>
          <w:szCs w:val="32"/>
        </w:rPr>
        <w:t>здания (кроме жилых) и сооружения</w:t>
      </w:r>
      <w:r>
        <w:rPr>
          <w:szCs w:val="32"/>
        </w:rPr>
        <w:t>.</w:t>
      </w:r>
      <w:r w:rsidR="003D60D7">
        <w:rPr>
          <w:szCs w:val="32"/>
        </w:rPr>
        <w:t xml:space="preserve"> В 2018 г. (по предварительным данным) их доля состав</w:t>
      </w:r>
      <w:r w:rsidR="00DC4F27">
        <w:rPr>
          <w:szCs w:val="32"/>
        </w:rPr>
        <w:t>и</w:t>
      </w:r>
      <w:r w:rsidR="003D60D7">
        <w:rPr>
          <w:szCs w:val="32"/>
        </w:rPr>
        <w:t xml:space="preserve">ла </w:t>
      </w:r>
      <w:r w:rsidR="00DC4F27" w:rsidRPr="00DC4F27">
        <w:rPr>
          <w:szCs w:val="32"/>
        </w:rPr>
        <w:t>62</w:t>
      </w:r>
      <w:r w:rsidR="00DC4F27">
        <w:rPr>
          <w:szCs w:val="32"/>
        </w:rPr>
        <w:t xml:space="preserve">,1 </w:t>
      </w:r>
      <w:r w:rsidR="003D60D7">
        <w:rPr>
          <w:szCs w:val="32"/>
        </w:rPr>
        <w:t>% от общего объема инвестиций</w:t>
      </w:r>
      <w:r w:rsidR="00DC4F27">
        <w:rPr>
          <w:szCs w:val="32"/>
        </w:rPr>
        <w:t xml:space="preserve"> по республике и увеличилась по сравнению с 2013 г. на 8,5 п.п. 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820"/>
      </w:tblGrid>
      <w:tr w:rsidR="00E85338" w:rsidTr="00E37BF8">
        <w:trPr>
          <w:trHeight w:val="4364"/>
        </w:trPr>
        <w:tc>
          <w:tcPr>
            <w:tcW w:w="5103" w:type="dxa"/>
          </w:tcPr>
          <w:p w:rsidR="00E85338" w:rsidRDefault="00E85338" w:rsidP="00352F2B">
            <w:pPr>
              <w:pStyle w:val="aa"/>
              <w:spacing w:before="120" w:after="120"/>
              <w:ind w:left="0"/>
              <w:jc w:val="both"/>
              <w:rPr>
                <w:b/>
                <w:color w:val="632423" w:themeColor="accent2" w:themeShade="80"/>
                <w:sz w:val="24"/>
                <w:szCs w:val="32"/>
              </w:rPr>
            </w:pPr>
            <w:r w:rsidRPr="00E85338">
              <w:rPr>
                <w:b/>
                <w:noProof/>
                <w:color w:val="632423" w:themeColor="accent2" w:themeShade="80"/>
                <w:sz w:val="24"/>
                <w:szCs w:val="32"/>
              </w:rPr>
              <w:drawing>
                <wp:inline distT="0" distB="0" distL="0" distR="0">
                  <wp:extent cx="3081959" cy="2733261"/>
                  <wp:effectExtent l="19050" t="0" r="4141" b="0"/>
                  <wp:docPr id="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85338" w:rsidRDefault="00352F2B" w:rsidP="00616C13">
            <w:pPr>
              <w:pStyle w:val="aa"/>
              <w:spacing w:before="120" w:after="120"/>
              <w:ind w:left="0"/>
              <w:jc w:val="both"/>
              <w:rPr>
                <w:b/>
                <w:color w:val="632423" w:themeColor="accent2" w:themeShade="80"/>
                <w:sz w:val="24"/>
                <w:szCs w:val="32"/>
              </w:rPr>
            </w:pPr>
            <w:r w:rsidRPr="00352F2B">
              <w:rPr>
                <w:b/>
                <w:noProof/>
                <w:color w:val="632423" w:themeColor="accent2" w:themeShade="80"/>
                <w:sz w:val="24"/>
                <w:szCs w:val="32"/>
              </w:rPr>
              <w:drawing>
                <wp:inline distT="0" distB="0" distL="0" distR="0">
                  <wp:extent cx="2952750" cy="2733261"/>
                  <wp:effectExtent l="19050" t="0" r="0" b="0"/>
                  <wp:docPr id="6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E85338" w:rsidRPr="00315DA5" w:rsidRDefault="00315DA5" w:rsidP="00315DA5">
      <w:pPr>
        <w:pStyle w:val="ad"/>
        <w:jc w:val="center"/>
        <w:rPr>
          <w:color w:val="632423" w:themeColor="accent2" w:themeShade="80"/>
        </w:rPr>
      </w:pPr>
      <w:r w:rsidRPr="00315DA5">
        <w:rPr>
          <w:color w:val="632423" w:themeColor="accent2" w:themeShade="80"/>
        </w:rPr>
        <w:t>Видовая структура инвестиций в основной капитал в 2013  и 2018 гг., в % к итогу</w:t>
      </w:r>
    </w:p>
    <w:p w:rsidR="005825C6" w:rsidRDefault="005825C6" w:rsidP="009A184E">
      <w:pPr>
        <w:spacing w:after="0"/>
        <w:ind w:firstLine="709"/>
        <w:jc w:val="center"/>
        <w:rPr>
          <w:b/>
          <w:color w:val="632423" w:themeColor="accent2" w:themeShade="80"/>
        </w:rPr>
      </w:pPr>
    </w:p>
    <w:p w:rsidR="009A184E" w:rsidRPr="003E5F06" w:rsidRDefault="009A184E" w:rsidP="009A184E">
      <w:pPr>
        <w:spacing w:after="0"/>
        <w:ind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Инвестиции в основной капитал по видам основных фондов</w:t>
      </w:r>
      <w:r w:rsidRPr="003E5F06">
        <w:rPr>
          <w:b/>
          <w:color w:val="632423" w:themeColor="accent2" w:themeShade="80"/>
        </w:rPr>
        <w:t xml:space="preserve"> </w:t>
      </w:r>
    </w:p>
    <w:p w:rsidR="009A184E" w:rsidRPr="003E5F06" w:rsidRDefault="009A184E" w:rsidP="009A184E">
      <w:pPr>
        <w:spacing w:after="0"/>
        <w:ind w:firstLine="709"/>
        <w:jc w:val="center"/>
        <w:rPr>
          <w:color w:val="632423" w:themeColor="accent2" w:themeShade="80"/>
          <w:sz w:val="20"/>
        </w:rPr>
      </w:pPr>
      <w:r w:rsidRPr="003E5F06">
        <w:rPr>
          <w:color w:val="632423" w:themeColor="accent2" w:themeShade="80"/>
          <w:sz w:val="20"/>
        </w:rPr>
        <w:t>(</w:t>
      </w:r>
      <w:r>
        <w:rPr>
          <w:color w:val="632423" w:themeColor="accent2" w:themeShade="80"/>
          <w:sz w:val="20"/>
        </w:rPr>
        <w:t>млн. рублей</w:t>
      </w:r>
      <w:r w:rsidRPr="003E5F06">
        <w:rPr>
          <w:color w:val="632423" w:themeColor="accent2" w:themeShade="80"/>
          <w:sz w:val="20"/>
        </w:rPr>
        <w:t>)</w:t>
      </w:r>
    </w:p>
    <w:tbl>
      <w:tblPr>
        <w:tblStyle w:val="-11"/>
        <w:tblW w:w="0" w:type="auto"/>
        <w:tblLook w:val="04A0"/>
      </w:tblPr>
      <w:tblGrid>
        <w:gridCol w:w="3936"/>
        <w:gridCol w:w="992"/>
        <w:gridCol w:w="992"/>
        <w:gridCol w:w="992"/>
        <w:gridCol w:w="993"/>
        <w:gridCol w:w="992"/>
        <w:gridCol w:w="957"/>
      </w:tblGrid>
      <w:tr w:rsidR="009A184E" w:rsidRPr="00E8583B" w:rsidTr="005825C6">
        <w:trPr>
          <w:cnfStyle w:val="100000000000"/>
          <w:tblHeader/>
        </w:trPr>
        <w:tc>
          <w:tcPr>
            <w:cnfStyle w:val="001000000000"/>
            <w:tcW w:w="393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A184E" w:rsidRPr="003E5F06" w:rsidRDefault="009A184E" w:rsidP="009A184E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A184E" w:rsidRPr="003E5F06" w:rsidRDefault="009A184E" w:rsidP="009A184E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A184E" w:rsidRPr="003E5F06" w:rsidRDefault="009A184E" w:rsidP="009A184E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A184E" w:rsidRPr="003E5F06" w:rsidRDefault="009A184E" w:rsidP="009A184E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2015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A184E" w:rsidRPr="003E5F06" w:rsidRDefault="009A184E" w:rsidP="009A184E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A184E" w:rsidRPr="003E5F06" w:rsidRDefault="009A184E" w:rsidP="009A184E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2017</w:t>
            </w:r>
          </w:p>
        </w:tc>
        <w:tc>
          <w:tcPr>
            <w:tcW w:w="957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9A184E" w:rsidRPr="003E5F06" w:rsidRDefault="009A184E" w:rsidP="009A184E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2018</w:t>
            </w:r>
            <w:r w:rsidRPr="00421BBE">
              <w:rPr>
                <w:color w:val="632423" w:themeColor="accent2" w:themeShade="80"/>
                <w:vertAlign w:val="superscript"/>
              </w:rPr>
              <w:t>1)</w:t>
            </w:r>
            <w:r w:rsidRPr="003E5F06">
              <w:rPr>
                <w:color w:val="632423" w:themeColor="accent2" w:themeShade="80"/>
              </w:rPr>
              <w:t xml:space="preserve"> </w:t>
            </w:r>
          </w:p>
        </w:tc>
      </w:tr>
      <w:tr w:rsidR="009A184E" w:rsidRPr="00CD7A68" w:rsidTr="000D2680">
        <w:trPr>
          <w:cnfStyle w:val="000000100000"/>
        </w:trPr>
        <w:tc>
          <w:tcPr>
            <w:cnfStyle w:val="001000000000"/>
            <w:tcW w:w="393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9A184E" w:rsidRPr="003E5F06" w:rsidRDefault="009A184E" w:rsidP="009A184E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252D69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193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 xml:space="preserve">947 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252D69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181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 xml:space="preserve">172 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252D69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198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 xml:space="preserve">032 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252D69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275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>576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252D69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386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>790</w:t>
            </w:r>
          </w:p>
        </w:tc>
        <w:tc>
          <w:tcPr>
            <w:tcW w:w="957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252D69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252D69">
              <w:rPr>
                <w:bCs/>
                <w:color w:val="632423" w:themeColor="accent2" w:themeShade="80"/>
              </w:rPr>
              <w:t>403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252D69">
              <w:rPr>
                <w:bCs/>
                <w:color w:val="632423" w:themeColor="accent2" w:themeShade="80"/>
              </w:rPr>
              <w:t>427</w:t>
            </w:r>
          </w:p>
        </w:tc>
      </w:tr>
      <w:tr w:rsidR="009A184E" w:rsidRPr="00CD7A68" w:rsidTr="000D2680">
        <w:tc>
          <w:tcPr>
            <w:cnfStyle w:val="001000000000"/>
            <w:tcW w:w="393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9A184E" w:rsidRPr="003E5F06" w:rsidRDefault="009A184E" w:rsidP="009A184E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 том числе в: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57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</w:tr>
      <w:tr w:rsidR="009A184E" w:rsidRPr="00CD7A68" w:rsidTr="000D2680">
        <w:trPr>
          <w:cnfStyle w:val="000000100000"/>
        </w:trPr>
        <w:tc>
          <w:tcPr>
            <w:cnfStyle w:val="001000000000"/>
            <w:tcW w:w="393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9A184E" w:rsidRDefault="009A184E" w:rsidP="009A184E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жилые здания и помещения</w:t>
            </w:r>
            <w:r w:rsidRPr="009A184E">
              <w:rPr>
                <w:b w:val="0"/>
                <w:color w:val="632423" w:themeColor="accent2" w:themeShade="80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15 186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20 247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18 698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23 487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23 392</w:t>
            </w:r>
          </w:p>
        </w:tc>
        <w:tc>
          <w:tcPr>
            <w:tcW w:w="957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9A184E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27 998</w:t>
            </w:r>
          </w:p>
        </w:tc>
      </w:tr>
      <w:tr w:rsidR="009A184E" w:rsidRPr="00CD7A68" w:rsidTr="000D2680">
        <w:tc>
          <w:tcPr>
            <w:cnfStyle w:val="001000000000"/>
            <w:tcW w:w="393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9A184E" w:rsidRDefault="009A184E" w:rsidP="009A184E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здания (кроме жилых) и сооружения, расходы на улучшение земель</w:t>
            </w:r>
            <w:r w:rsidRPr="009A184E">
              <w:rPr>
                <w:b w:val="0"/>
                <w:color w:val="632423" w:themeColor="accent2" w:themeShade="80"/>
                <w:vertAlign w:val="superscript"/>
              </w:rPr>
              <w:t>3)</w:t>
            </w:r>
            <w:r>
              <w:rPr>
                <w:b w:val="0"/>
                <w:color w:val="632423" w:themeColor="accent2" w:themeShade="8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194A6A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104 037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194A6A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100 319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194A6A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112 184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194A6A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157 237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194A6A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238 290</w:t>
            </w:r>
          </w:p>
        </w:tc>
        <w:tc>
          <w:tcPr>
            <w:tcW w:w="957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194A6A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250 508</w:t>
            </w:r>
          </w:p>
        </w:tc>
      </w:tr>
      <w:tr w:rsidR="009A184E" w:rsidRPr="00CD7A68" w:rsidTr="000D2680">
        <w:trPr>
          <w:cnfStyle w:val="000000100000"/>
        </w:trPr>
        <w:tc>
          <w:tcPr>
            <w:cnfStyle w:val="001000000000"/>
            <w:tcW w:w="393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9A184E" w:rsidRDefault="00194A6A" w:rsidP="009A184E">
            <w:pPr>
              <w:rPr>
                <w:b w:val="0"/>
                <w:color w:val="632423" w:themeColor="accent2" w:themeShade="80"/>
              </w:rPr>
            </w:pPr>
            <w:r w:rsidRPr="00194A6A">
              <w:rPr>
                <w:b w:val="0"/>
                <w:color w:val="632423" w:themeColor="accent2" w:themeShade="80"/>
              </w:rPr>
              <w:t>машины и оборудование,</w:t>
            </w:r>
            <w:r>
              <w:rPr>
                <w:b w:val="0"/>
                <w:color w:val="632423" w:themeColor="accent2" w:themeShade="80"/>
              </w:rPr>
              <w:t xml:space="preserve"> </w:t>
            </w:r>
            <w:r w:rsidRPr="00194A6A">
              <w:rPr>
                <w:b w:val="0"/>
                <w:color w:val="632423" w:themeColor="accent2" w:themeShade="80"/>
              </w:rPr>
              <w:t>включая хозяйственный инвентарь, и другие объекты</w:t>
            </w:r>
            <w:r w:rsidRPr="00194A6A">
              <w:rPr>
                <w:b w:val="0"/>
                <w:color w:val="632423" w:themeColor="accent2" w:themeShade="80"/>
                <w:vertAlign w:val="superscript"/>
              </w:rPr>
              <w:t>4)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60 000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44 369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48 396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55 095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82 644</w:t>
            </w:r>
          </w:p>
        </w:tc>
        <w:tc>
          <w:tcPr>
            <w:tcW w:w="957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102 140</w:t>
            </w:r>
          </w:p>
        </w:tc>
      </w:tr>
      <w:tr w:rsidR="00461460" w:rsidRPr="00CD7A68" w:rsidTr="000D2680">
        <w:tc>
          <w:tcPr>
            <w:cnfStyle w:val="001000000000"/>
            <w:tcW w:w="393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61460" w:rsidRPr="00461460" w:rsidRDefault="00461460" w:rsidP="009A184E">
            <w:pPr>
              <w:rPr>
                <w:b w:val="0"/>
                <w:color w:val="632423" w:themeColor="accent2" w:themeShade="80"/>
              </w:rPr>
            </w:pPr>
            <w:r w:rsidRPr="00461460">
              <w:rPr>
                <w:b w:val="0"/>
                <w:color w:val="632423" w:themeColor="accent2" w:themeShade="80"/>
              </w:rPr>
              <w:lastRenderedPageBreak/>
              <w:t>объекты интеллектуальной собственности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61460" w:rsidRPr="00461460" w:rsidRDefault="00461460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61460">
              <w:rPr>
                <w:bCs/>
                <w:color w:val="632423" w:themeColor="accent2" w:themeShade="80"/>
              </w:rPr>
              <w:t>…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61460" w:rsidRPr="00461460" w:rsidRDefault="00461460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61460">
              <w:rPr>
                <w:bCs/>
                <w:color w:val="632423" w:themeColor="accent2" w:themeShade="80"/>
              </w:rPr>
              <w:t>…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61460" w:rsidRPr="00461460" w:rsidRDefault="00461460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61460">
              <w:rPr>
                <w:bCs/>
                <w:color w:val="632423" w:themeColor="accent2" w:themeShade="80"/>
              </w:rPr>
              <w:t>…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61460" w:rsidRPr="00461460" w:rsidRDefault="00461460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61460">
              <w:rPr>
                <w:bCs/>
                <w:color w:val="632423" w:themeColor="accent2" w:themeShade="80"/>
              </w:rPr>
              <w:t>…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61460" w:rsidRPr="00461460" w:rsidRDefault="00461460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11 091</w:t>
            </w:r>
          </w:p>
        </w:tc>
        <w:tc>
          <w:tcPr>
            <w:tcW w:w="957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61460" w:rsidRPr="00461460" w:rsidRDefault="00461460" w:rsidP="009A184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11 189</w:t>
            </w:r>
          </w:p>
        </w:tc>
      </w:tr>
      <w:tr w:rsidR="009A184E" w:rsidRPr="00CD7A68" w:rsidTr="000D2680">
        <w:trPr>
          <w:cnfStyle w:val="000000100000"/>
        </w:trPr>
        <w:tc>
          <w:tcPr>
            <w:cnfStyle w:val="001000000000"/>
            <w:tcW w:w="393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9A184E" w:rsidRPr="003E5F06" w:rsidRDefault="00461460" w:rsidP="009A184E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прочие инвестиции</w:t>
            </w:r>
            <w:r w:rsidRPr="00461460">
              <w:rPr>
                <w:b w:val="0"/>
                <w:color w:val="632423" w:themeColor="accent2" w:themeShade="80"/>
                <w:vertAlign w:val="superscript"/>
              </w:rPr>
              <w:t>5)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14 725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16 237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18 754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39 757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31 374</w:t>
            </w:r>
          </w:p>
        </w:tc>
        <w:tc>
          <w:tcPr>
            <w:tcW w:w="957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9A184E" w:rsidRPr="003E5F06" w:rsidRDefault="00461460" w:rsidP="009A184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11 592</w:t>
            </w:r>
          </w:p>
        </w:tc>
      </w:tr>
      <w:tr w:rsidR="009A184E" w:rsidRPr="0064035E" w:rsidTr="009A184E">
        <w:tc>
          <w:tcPr>
            <w:cnfStyle w:val="001000000000"/>
            <w:tcW w:w="9854" w:type="dxa"/>
            <w:gridSpan w:val="7"/>
            <w:tcBorders>
              <w:top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</w:tcPr>
          <w:p w:rsidR="009A184E" w:rsidRDefault="009A184E" w:rsidP="009A184E">
            <w:pPr>
              <w:rPr>
                <w:b w:val="0"/>
                <w:color w:val="632423" w:themeColor="accent2" w:themeShade="80"/>
                <w:sz w:val="18"/>
                <w:szCs w:val="18"/>
              </w:rPr>
            </w:pPr>
            <w:r>
              <w:rPr>
                <w:b w:val="0"/>
                <w:color w:val="632423" w:themeColor="accent2" w:themeShade="80"/>
                <w:sz w:val="18"/>
                <w:szCs w:val="18"/>
                <w:vertAlign w:val="superscript"/>
              </w:rPr>
              <w:t>1</w:t>
            </w:r>
            <w:r w:rsidRPr="003E5F06">
              <w:rPr>
                <w:b w:val="0"/>
                <w:color w:val="632423" w:themeColor="accent2" w:themeShade="80"/>
                <w:sz w:val="18"/>
                <w:szCs w:val="18"/>
                <w:vertAlign w:val="superscript"/>
              </w:rPr>
              <w:t>)</w:t>
            </w:r>
            <w:r w:rsidRPr="003E5F06">
              <w:rPr>
                <w:b w:val="0"/>
                <w:color w:val="632423" w:themeColor="accent2" w:themeShade="80"/>
                <w:sz w:val="18"/>
                <w:szCs w:val="18"/>
              </w:rPr>
              <w:t xml:space="preserve"> Предварительные данные.</w:t>
            </w:r>
          </w:p>
          <w:p w:rsidR="009A184E" w:rsidRPr="00C73943" w:rsidRDefault="009A184E" w:rsidP="009A184E">
            <w:pPr>
              <w:rPr>
                <w:b w:val="0"/>
                <w:color w:val="632423" w:themeColor="accent2" w:themeShade="80"/>
                <w:sz w:val="18"/>
                <w:szCs w:val="18"/>
              </w:rPr>
            </w:pPr>
            <w:r>
              <w:rPr>
                <w:b w:val="0"/>
                <w:color w:val="632423" w:themeColor="accent2" w:themeShade="80"/>
                <w:sz w:val="18"/>
                <w:szCs w:val="18"/>
                <w:vertAlign w:val="superscript"/>
              </w:rPr>
              <w:t xml:space="preserve">2) </w:t>
            </w:r>
            <w:r>
              <w:rPr>
                <w:b w:val="0"/>
                <w:color w:val="632423" w:themeColor="accent2" w:themeShade="80"/>
                <w:sz w:val="18"/>
                <w:szCs w:val="18"/>
              </w:rPr>
              <w:t>До 2017 г. – жилища.</w:t>
            </w:r>
          </w:p>
          <w:p w:rsidR="009A184E" w:rsidRDefault="009A184E" w:rsidP="009A184E">
            <w:pPr>
              <w:rPr>
                <w:b w:val="0"/>
                <w:iCs/>
                <w:color w:val="632423" w:themeColor="accent2" w:themeShade="80"/>
                <w:sz w:val="18"/>
                <w:szCs w:val="18"/>
              </w:rPr>
            </w:pPr>
            <w:r>
              <w:rPr>
                <w:b w:val="0"/>
                <w:iCs/>
                <w:color w:val="632423" w:themeColor="accent2" w:themeShade="80"/>
                <w:sz w:val="18"/>
                <w:szCs w:val="18"/>
                <w:vertAlign w:val="superscript"/>
              </w:rPr>
              <w:t>3</w:t>
            </w:r>
            <w:r w:rsidRPr="003E5F06">
              <w:rPr>
                <w:b w:val="0"/>
                <w:iCs/>
                <w:color w:val="632423" w:themeColor="accent2" w:themeShade="80"/>
                <w:sz w:val="18"/>
                <w:szCs w:val="18"/>
                <w:vertAlign w:val="superscript"/>
              </w:rPr>
              <w:t>)</w:t>
            </w:r>
            <w:r w:rsidRPr="003E5F06">
              <w:rPr>
                <w:b w:val="0"/>
                <w:iCs/>
                <w:color w:val="632423" w:themeColor="accent2" w:themeShade="80"/>
                <w:sz w:val="18"/>
                <w:szCs w:val="18"/>
              </w:rPr>
              <w:t xml:space="preserve"> </w:t>
            </w:r>
            <w:r>
              <w:rPr>
                <w:b w:val="0"/>
                <w:iCs/>
                <w:color w:val="632423" w:themeColor="accent2" w:themeShade="80"/>
                <w:sz w:val="18"/>
                <w:szCs w:val="18"/>
              </w:rPr>
              <w:t>До 2017 г. – здания (кроме жилых) и сооружения.</w:t>
            </w:r>
          </w:p>
          <w:p w:rsidR="00194A6A" w:rsidRPr="00194A6A" w:rsidRDefault="00194A6A" w:rsidP="009A184E">
            <w:pPr>
              <w:rPr>
                <w:b w:val="0"/>
                <w:iCs/>
                <w:color w:val="632423" w:themeColor="accent2" w:themeShade="80"/>
                <w:sz w:val="18"/>
                <w:szCs w:val="18"/>
              </w:rPr>
            </w:pPr>
            <w:r w:rsidRPr="00194A6A">
              <w:rPr>
                <w:b w:val="0"/>
                <w:iCs/>
                <w:color w:val="632423" w:themeColor="accent2" w:themeShade="80"/>
                <w:sz w:val="18"/>
                <w:szCs w:val="18"/>
                <w:vertAlign w:val="superscript"/>
              </w:rPr>
              <w:t>4)</w:t>
            </w:r>
            <w:r>
              <w:rPr>
                <w:b w:val="0"/>
                <w:iCs/>
                <w:color w:val="632423" w:themeColor="accent2" w:themeShade="80"/>
                <w:sz w:val="18"/>
                <w:szCs w:val="18"/>
              </w:rPr>
              <w:t xml:space="preserve"> До 2017 г. </w:t>
            </w:r>
            <w:r w:rsidR="00461460">
              <w:rPr>
                <w:b w:val="0"/>
                <w:iCs/>
                <w:color w:val="632423" w:themeColor="accent2" w:themeShade="80"/>
                <w:sz w:val="18"/>
                <w:szCs w:val="18"/>
              </w:rPr>
              <w:t>–</w:t>
            </w:r>
            <w:r>
              <w:rPr>
                <w:b w:val="0"/>
                <w:iCs/>
                <w:color w:val="632423" w:themeColor="accent2" w:themeShade="80"/>
                <w:sz w:val="18"/>
                <w:szCs w:val="18"/>
              </w:rPr>
              <w:t xml:space="preserve"> </w:t>
            </w:r>
            <w:r w:rsidR="00461460">
              <w:rPr>
                <w:b w:val="0"/>
                <w:iCs/>
                <w:color w:val="632423" w:themeColor="accent2" w:themeShade="80"/>
                <w:sz w:val="18"/>
                <w:szCs w:val="18"/>
              </w:rPr>
              <w:t>машины и оборудование, транспортные средства, производственный и хозяйственный инвентарь.</w:t>
            </w:r>
          </w:p>
          <w:p w:rsidR="009A184E" w:rsidRPr="003E5F06" w:rsidRDefault="00461460" w:rsidP="009A184E">
            <w:pPr>
              <w:rPr>
                <w:b w:val="0"/>
                <w:color w:val="632423" w:themeColor="accent2" w:themeShade="80"/>
                <w:sz w:val="18"/>
                <w:szCs w:val="18"/>
              </w:rPr>
            </w:pPr>
            <w:r w:rsidRPr="00461460">
              <w:rPr>
                <w:b w:val="0"/>
                <w:color w:val="632423" w:themeColor="accent2" w:themeShade="80"/>
                <w:sz w:val="18"/>
                <w:szCs w:val="18"/>
                <w:vertAlign w:val="superscript"/>
              </w:rPr>
              <w:t>5)</w:t>
            </w:r>
            <w:r>
              <w:rPr>
                <w:b w:val="0"/>
                <w:color w:val="632423" w:themeColor="accent2" w:themeShade="80"/>
                <w:sz w:val="18"/>
                <w:szCs w:val="18"/>
              </w:rPr>
              <w:t xml:space="preserve"> До 2017 г. – с учетом объектов интеллектуальной собственности.</w:t>
            </w:r>
          </w:p>
        </w:tc>
      </w:tr>
    </w:tbl>
    <w:p w:rsidR="00BB2487" w:rsidRDefault="00CC2F1F" w:rsidP="00735D19">
      <w:pPr>
        <w:pStyle w:val="aa"/>
        <w:spacing w:before="120" w:after="120"/>
        <w:ind w:left="0" w:firstLine="709"/>
        <w:contextualSpacing w:val="0"/>
        <w:jc w:val="both"/>
        <w:rPr>
          <w:szCs w:val="32"/>
        </w:rPr>
      </w:pPr>
      <w:r>
        <w:rPr>
          <w:szCs w:val="32"/>
        </w:rPr>
        <w:t xml:space="preserve">В структуре инвестиций в основной капитал </w:t>
      </w:r>
      <w:r w:rsidRPr="005825C6">
        <w:rPr>
          <w:b/>
          <w:szCs w:val="32"/>
        </w:rPr>
        <w:t>по источникам финансирования</w:t>
      </w:r>
      <w:r w:rsidR="005825C6">
        <w:rPr>
          <w:rStyle w:val="af0"/>
          <w:b/>
          <w:szCs w:val="32"/>
        </w:rPr>
        <w:footnoteReference w:id="4"/>
      </w:r>
      <w:r>
        <w:rPr>
          <w:szCs w:val="32"/>
        </w:rPr>
        <w:t xml:space="preserve"> за 2013-2018 гг.  менялось соотношение собственных средств организаций и привлеченных источников финансирования. В 2014-2015 гг. более половины инвестиций приходилось на </w:t>
      </w:r>
      <w:r w:rsidRPr="007F1DDB">
        <w:rPr>
          <w:szCs w:val="32"/>
        </w:rPr>
        <w:t>собственные средства, в остальные годы – на привлеченные.</w:t>
      </w:r>
      <w:r w:rsidR="005825C6" w:rsidRPr="007F1DDB">
        <w:rPr>
          <w:szCs w:val="32"/>
        </w:rPr>
        <w:t xml:space="preserve"> Среди привлеченных средств с 2015 г. основную долю занимали прочие источники финансирования, достигнув в 2018 г. максимального</w:t>
      </w:r>
      <w:r w:rsidR="005825C6">
        <w:rPr>
          <w:szCs w:val="32"/>
        </w:rPr>
        <w:t xml:space="preserve"> значения – 53,3% от общего объема инвестиций. </w:t>
      </w:r>
    </w:p>
    <w:p w:rsidR="004B13F7" w:rsidRPr="003E5F06" w:rsidRDefault="004B13F7" w:rsidP="004B13F7">
      <w:pPr>
        <w:spacing w:after="0"/>
        <w:ind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Структура инвестиций в основной капитал по источникам финансирования</w:t>
      </w:r>
      <w:r w:rsidRPr="003E5F06">
        <w:rPr>
          <w:b/>
          <w:color w:val="632423" w:themeColor="accent2" w:themeShade="80"/>
        </w:rPr>
        <w:t xml:space="preserve"> </w:t>
      </w:r>
    </w:p>
    <w:p w:rsidR="004B13F7" w:rsidRPr="003E5F06" w:rsidRDefault="004B13F7" w:rsidP="004B13F7">
      <w:pPr>
        <w:spacing w:after="0"/>
        <w:ind w:firstLine="709"/>
        <w:jc w:val="center"/>
        <w:rPr>
          <w:color w:val="632423" w:themeColor="accent2" w:themeShade="80"/>
          <w:sz w:val="20"/>
        </w:rPr>
      </w:pPr>
      <w:r w:rsidRPr="003E5F06">
        <w:rPr>
          <w:color w:val="632423" w:themeColor="accent2" w:themeShade="80"/>
          <w:sz w:val="20"/>
        </w:rPr>
        <w:t>(</w:t>
      </w:r>
      <w:r>
        <w:rPr>
          <w:color w:val="632423" w:themeColor="accent2" w:themeShade="80"/>
          <w:sz w:val="20"/>
        </w:rPr>
        <w:t>в процентах к итогу</w:t>
      </w:r>
      <w:r w:rsidRPr="003E5F06">
        <w:rPr>
          <w:color w:val="632423" w:themeColor="accent2" w:themeShade="80"/>
          <w:sz w:val="20"/>
        </w:rPr>
        <w:t>)</w:t>
      </w:r>
    </w:p>
    <w:tbl>
      <w:tblPr>
        <w:tblStyle w:val="-11"/>
        <w:tblW w:w="0" w:type="auto"/>
        <w:tblLook w:val="04A0"/>
      </w:tblPr>
      <w:tblGrid>
        <w:gridCol w:w="4786"/>
        <w:gridCol w:w="851"/>
        <w:gridCol w:w="850"/>
        <w:gridCol w:w="851"/>
        <w:gridCol w:w="850"/>
        <w:gridCol w:w="851"/>
        <w:gridCol w:w="815"/>
      </w:tblGrid>
      <w:tr w:rsidR="004B13F7" w:rsidRPr="00E8583B" w:rsidTr="005825C6">
        <w:trPr>
          <w:cnfStyle w:val="100000000000"/>
          <w:tblHeader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4B13F7" w:rsidRPr="003E5F06" w:rsidRDefault="004B13F7" w:rsidP="004B13F7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4B13F7" w:rsidRPr="003E5F06" w:rsidRDefault="004B13F7" w:rsidP="004B13F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2013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4B13F7" w:rsidRPr="003E5F06" w:rsidRDefault="004B13F7" w:rsidP="004B13F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4B13F7" w:rsidRPr="003E5F06" w:rsidRDefault="004B13F7" w:rsidP="004B13F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2015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4B13F7" w:rsidRPr="003E5F06" w:rsidRDefault="004B13F7" w:rsidP="004B13F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2016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4B13F7" w:rsidRPr="003E5F06" w:rsidRDefault="004B13F7" w:rsidP="004B13F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2017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4B13F7" w:rsidRPr="003E5F06" w:rsidRDefault="004B13F7" w:rsidP="004B13F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2018</w:t>
            </w:r>
          </w:p>
        </w:tc>
      </w:tr>
      <w:tr w:rsidR="004B13F7" w:rsidRPr="00CD7A68" w:rsidTr="008F362C">
        <w:trPr>
          <w:cnfStyle w:val="000000100000"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B13F7" w:rsidRPr="003E5F06" w:rsidRDefault="004B13F7" w:rsidP="004B13F7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252D69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100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252D69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100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252D69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100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252D69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100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252D69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100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252D69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100</w:t>
            </w:r>
          </w:p>
        </w:tc>
      </w:tr>
      <w:tr w:rsidR="004B13F7" w:rsidRPr="00CD7A68" w:rsidTr="008F362C"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B13F7" w:rsidRPr="003E5F06" w:rsidRDefault="004B13F7" w:rsidP="004B13F7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 том числе: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</w:tr>
      <w:tr w:rsidR="004B13F7" w:rsidRPr="00CD7A68" w:rsidTr="008F362C">
        <w:trPr>
          <w:cnfStyle w:val="000000100000"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B13F7" w:rsidRDefault="004B13F7" w:rsidP="004B13F7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собственные средства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46</w:t>
            </w:r>
            <w:r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4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59</w:t>
            </w:r>
            <w:r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56</w:t>
            </w:r>
            <w:r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44</w:t>
            </w:r>
            <w:r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38</w:t>
            </w:r>
            <w:r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623B3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33,9</w:t>
            </w:r>
          </w:p>
        </w:tc>
      </w:tr>
      <w:tr w:rsidR="004B13F7" w:rsidRPr="00CD7A68" w:rsidTr="008F362C"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B13F7" w:rsidRDefault="004B13F7" w:rsidP="004B13F7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привлеченные средства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53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40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43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55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8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61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8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623B3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66,1</w:t>
            </w:r>
          </w:p>
        </w:tc>
      </w:tr>
      <w:tr w:rsidR="004B13F7" w:rsidRPr="00CD7A68" w:rsidTr="008F362C">
        <w:trPr>
          <w:cnfStyle w:val="000000100000"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B13F7" w:rsidRDefault="004B13F7" w:rsidP="004B13F7">
            <w:pPr>
              <w:ind w:left="426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 том числе: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3E5F06" w:rsidRDefault="004B13F7" w:rsidP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</w:tr>
      <w:tr w:rsidR="004B13F7" w:rsidRPr="00CD7A68" w:rsidTr="008F362C"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B13F7" w:rsidRPr="00461460" w:rsidRDefault="004B13F7" w:rsidP="004B13F7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кредиты банков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1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2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3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4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1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B13F7" w:rsidRPr="004B13F7" w:rsidRDefault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3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9</w:t>
            </w:r>
          </w:p>
        </w:tc>
      </w:tr>
      <w:tr w:rsidR="004B13F7" w:rsidRPr="00CD7A68" w:rsidTr="008F362C">
        <w:trPr>
          <w:cnfStyle w:val="000000100000"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B13F7" w:rsidRDefault="004B13F7" w:rsidP="004B13F7">
            <w:pPr>
              <w:ind w:left="426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из них кредиты иностранных банков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0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8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0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0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4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B13F7" w:rsidRPr="004B13F7" w:rsidRDefault="004B13F7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B13F7">
              <w:rPr>
                <w:bCs/>
                <w:color w:val="632423" w:themeColor="accent2" w:themeShade="80"/>
              </w:rPr>
              <w:t>0</w:t>
            </w:r>
            <w:r w:rsidR="001C1FBE">
              <w:rPr>
                <w:bCs/>
                <w:color w:val="632423" w:themeColor="accent2" w:themeShade="80"/>
              </w:rPr>
              <w:t>,</w:t>
            </w:r>
            <w:r w:rsidRPr="004B13F7">
              <w:rPr>
                <w:bCs/>
                <w:color w:val="632423" w:themeColor="accent2" w:themeShade="80"/>
              </w:rPr>
              <w:t>4</w:t>
            </w:r>
          </w:p>
        </w:tc>
      </w:tr>
      <w:tr w:rsidR="001C1FBE" w:rsidRPr="00CD7A68" w:rsidTr="008F362C"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1C1FBE" w:rsidRDefault="001C1FBE" w:rsidP="004B13F7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заемные средства других организаций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15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9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8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5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3</w:t>
            </w:r>
          </w:p>
        </w:tc>
      </w:tr>
      <w:tr w:rsidR="001C1FBE" w:rsidRPr="00CD7A68" w:rsidTr="008F362C">
        <w:trPr>
          <w:cnfStyle w:val="000000100000"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1C1FBE" w:rsidRDefault="001C1FBE" w:rsidP="004B13F7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бюджетные средства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24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21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4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13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13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0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8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7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2</w:t>
            </w:r>
          </w:p>
        </w:tc>
      </w:tr>
      <w:tr w:rsidR="001C1FBE" w:rsidRPr="00CD7A68" w:rsidTr="008F362C"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1C1FBE" w:rsidRDefault="001C1FBE" w:rsidP="001C1FBE">
            <w:pPr>
              <w:ind w:left="709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 том числе из: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461460" w:rsidRDefault="001C1FBE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461460" w:rsidRDefault="001C1FBE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461460" w:rsidRDefault="001C1FBE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461460" w:rsidRDefault="001C1FBE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461460" w:rsidRDefault="001C1FBE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461460" w:rsidRDefault="001C1FBE" w:rsidP="004B13F7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</w:tr>
      <w:tr w:rsidR="001C1FBE" w:rsidRPr="00CD7A68" w:rsidTr="008F362C">
        <w:trPr>
          <w:cnfStyle w:val="000000100000"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1C1FBE" w:rsidRPr="003E5F06" w:rsidRDefault="001C1FBE" w:rsidP="001C1FBE">
            <w:pPr>
              <w:ind w:left="426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16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11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6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3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1</w:t>
            </w:r>
          </w:p>
        </w:tc>
      </w:tr>
      <w:tr w:rsidR="001C1FBE" w:rsidRPr="00CD7A68" w:rsidTr="008F362C"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1C1FBE" w:rsidRPr="003E5F06" w:rsidRDefault="001C1FBE" w:rsidP="001C1FBE">
            <w:pPr>
              <w:ind w:left="426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бюджетов субъектов РФ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6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8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6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5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5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 w:rsidP="00623B3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>,</w:t>
            </w:r>
            <w:r w:rsidR="00623B3D">
              <w:rPr>
                <w:bCs/>
                <w:color w:val="632423" w:themeColor="accent2" w:themeShade="80"/>
              </w:rPr>
              <w:t>5</w:t>
            </w:r>
          </w:p>
        </w:tc>
      </w:tr>
      <w:tr w:rsidR="001C1FBE" w:rsidRPr="00CD7A68" w:rsidTr="008F362C">
        <w:trPr>
          <w:cnfStyle w:val="000000100000"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1C1FBE" w:rsidRPr="003E5F06" w:rsidRDefault="001C1FBE" w:rsidP="001C1FBE">
            <w:pPr>
              <w:ind w:left="426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местных бюджетов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3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0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9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4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1C1FBE" w:rsidRPr="001C1FBE" w:rsidRDefault="001C1FBE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C1FBE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,</w:t>
            </w:r>
            <w:r w:rsidRPr="001C1FBE">
              <w:rPr>
                <w:bCs/>
                <w:color w:val="632423" w:themeColor="accent2" w:themeShade="80"/>
              </w:rPr>
              <w:t>7</w:t>
            </w:r>
          </w:p>
        </w:tc>
      </w:tr>
      <w:tr w:rsidR="00DB7A49" w:rsidRPr="00CD7A68" w:rsidTr="008F362C"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DB7A49" w:rsidRDefault="00DB7A49" w:rsidP="00DB7A49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средства внебюджетных фондов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0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0</w:t>
            </w:r>
          </w:p>
        </w:tc>
      </w:tr>
      <w:tr w:rsidR="00DB7A49" w:rsidRPr="00CD7A68" w:rsidTr="008F362C">
        <w:trPr>
          <w:cnfStyle w:val="000000100000"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DB7A49" w:rsidRDefault="00DB7A49" w:rsidP="00DB7A49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средства организаций и населения, привлеченные для долевого строительства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8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0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4</w:t>
            </w:r>
          </w:p>
        </w:tc>
      </w:tr>
      <w:tr w:rsidR="00DB7A49" w:rsidRPr="00CD7A68" w:rsidTr="008F362C"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B7A49" w:rsidRDefault="00DB7A49" w:rsidP="00DB7A49">
            <w:pPr>
              <w:ind w:left="426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из них средства населения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8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5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B7A49" w:rsidRPr="00DB7A49" w:rsidRDefault="00DB7A4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3</w:t>
            </w:r>
          </w:p>
        </w:tc>
      </w:tr>
      <w:tr w:rsidR="00DB7A49" w:rsidRPr="00CD7A68" w:rsidTr="008F362C">
        <w:trPr>
          <w:cnfStyle w:val="000000100000"/>
        </w:trPr>
        <w:tc>
          <w:tcPr>
            <w:cnfStyle w:val="001000000000"/>
            <w:tcW w:w="478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DB7A49" w:rsidRPr="003E5F06" w:rsidRDefault="00DB7A49" w:rsidP="00DB7A49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прочие</w:t>
            </w:r>
            <w:r w:rsidRPr="00DB7A49">
              <w:rPr>
                <w:b w:val="0"/>
                <w:color w:val="632423" w:themeColor="accent2" w:themeShade="8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8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7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20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2</w:t>
            </w:r>
          </w:p>
        </w:tc>
        <w:tc>
          <w:tcPr>
            <w:tcW w:w="8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34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85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46</w:t>
            </w:r>
            <w:r>
              <w:rPr>
                <w:bCs/>
                <w:color w:val="632423" w:themeColor="accent2" w:themeShade="80"/>
              </w:rPr>
              <w:t>,</w:t>
            </w:r>
            <w:r w:rsidRPr="00DB7A49"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81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B7A49" w:rsidRPr="00DB7A49" w:rsidRDefault="00DB7A49" w:rsidP="00623B3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DB7A49">
              <w:rPr>
                <w:bCs/>
                <w:color w:val="632423" w:themeColor="accent2" w:themeShade="80"/>
              </w:rPr>
              <w:t>53</w:t>
            </w:r>
            <w:r>
              <w:rPr>
                <w:bCs/>
                <w:color w:val="632423" w:themeColor="accent2" w:themeShade="80"/>
              </w:rPr>
              <w:t>,</w:t>
            </w:r>
            <w:r w:rsidR="00623B3D">
              <w:rPr>
                <w:bCs/>
                <w:color w:val="632423" w:themeColor="accent2" w:themeShade="80"/>
              </w:rPr>
              <w:t>3</w:t>
            </w:r>
          </w:p>
        </w:tc>
      </w:tr>
      <w:tr w:rsidR="00DB7A49" w:rsidRPr="0064035E" w:rsidTr="004B13F7">
        <w:tc>
          <w:tcPr>
            <w:cnfStyle w:val="001000000000"/>
            <w:tcW w:w="9854" w:type="dxa"/>
            <w:gridSpan w:val="7"/>
            <w:tcBorders>
              <w:top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</w:tcPr>
          <w:p w:rsidR="00DB7A49" w:rsidRPr="003E5F06" w:rsidRDefault="00DB7A49" w:rsidP="00DB7A49">
            <w:pPr>
              <w:rPr>
                <w:b w:val="0"/>
                <w:color w:val="632423" w:themeColor="accent2" w:themeShade="80"/>
                <w:sz w:val="18"/>
                <w:szCs w:val="18"/>
              </w:rPr>
            </w:pPr>
            <w:r>
              <w:rPr>
                <w:b w:val="0"/>
                <w:color w:val="632423" w:themeColor="accent2" w:themeShade="80"/>
                <w:sz w:val="18"/>
                <w:szCs w:val="18"/>
                <w:vertAlign w:val="superscript"/>
              </w:rPr>
              <w:t>1</w:t>
            </w:r>
            <w:r w:rsidRPr="003E5F06">
              <w:rPr>
                <w:b w:val="0"/>
                <w:color w:val="632423" w:themeColor="accent2" w:themeShade="80"/>
                <w:sz w:val="18"/>
                <w:szCs w:val="18"/>
                <w:vertAlign w:val="superscript"/>
              </w:rPr>
              <w:t>)</w:t>
            </w:r>
            <w:r w:rsidRPr="003E5F06">
              <w:rPr>
                <w:b w:val="0"/>
                <w:color w:val="632423" w:themeColor="accent2" w:themeShade="80"/>
                <w:sz w:val="18"/>
                <w:szCs w:val="18"/>
              </w:rPr>
              <w:t xml:space="preserve"> </w:t>
            </w:r>
            <w:r>
              <w:rPr>
                <w:b w:val="0"/>
                <w:color w:val="632423" w:themeColor="accent2" w:themeShade="80"/>
                <w:sz w:val="18"/>
                <w:szCs w:val="18"/>
              </w:rPr>
              <w:t>Средства, полученные от вышестоящих организаций на безвозмездной основе, средства от выпуска корпоративных облигаций и эмиссии акций, безвозмездная (гуманитарная) помощь, оказанная иностранными государствами, организациями, иностранными физическими лицами и т.д.</w:t>
            </w:r>
          </w:p>
        </w:tc>
      </w:tr>
    </w:tbl>
    <w:p w:rsidR="00052F1B" w:rsidRDefault="00AA4267" w:rsidP="005825C6">
      <w:pPr>
        <w:spacing w:before="120" w:after="120"/>
        <w:ind w:firstLine="709"/>
        <w:jc w:val="both"/>
      </w:pPr>
      <w:r>
        <w:rPr>
          <w:szCs w:val="32"/>
        </w:rPr>
        <w:t xml:space="preserve">Можно отметить существенное снижение доли </w:t>
      </w:r>
      <w:r w:rsidRPr="00AA4267">
        <w:rPr>
          <w:b/>
          <w:szCs w:val="32"/>
        </w:rPr>
        <w:t>бюджетных средств</w:t>
      </w:r>
      <w:r>
        <w:rPr>
          <w:b/>
          <w:szCs w:val="32"/>
        </w:rPr>
        <w:t xml:space="preserve">, </w:t>
      </w:r>
      <w:r w:rsidRPr="00AA4267">
        <w:rPr>
          <w:szCs w:val="32"/>
        </w:rPr>
        <w:t xml:space="preserve">в частности средств федерального </w:t>
      </w:r>
      <w:r w:rsidR="00052F1B">
        <w:rPr>
          <w:szCs w:val="32"/>
        </w:rPr>
        <w:t xml:space="preserve">и республиканского </w:t>
      </w:r>
      <w:r w:rsidRPr="00AA4267">
        <w:rPr>
          <w:szCs w:val="32"/>
        </w:rPr>
        <w:t>бюджет</w:t>
      </w:r>
      <w:r w:rsidR="00052F1B">
        <w:rPr>
          <w:szCs w:val="32"/>
        </w:rPr>
        <w:t>ов</w:t>
      </w:r>
      <w:r w:rsidRPr="00AA4267">
        <w:rPr>
          <w:szCs w:val="32"/>
        </w:rPr>
        <w:t>.</w:t>
      </w:r>
      <w:r>
        <w:rPr>
          <w:szCs w:val="32"/>
        </w:rPr>
        <w:t xml:space="preserve"> </w:t>
      </w:r>
      <w:r w:rsidR="00052F1B">
        <w:t>В целом объем бюджетного финансирования инвестиций в основной капитал в 2018 г. составил 26,4 млрд. рублей и сократился на 7,8% по сравнению с предыдущим годом, и на 34,2% - по сравнению с 2013 г.</w:t>
      </w:r>
    </w:p>
    <w:p w:rsidR="00D15847" w:rsidRDefault="00D15847" w:rsidP="00D15847">
      <w:pPr>
        <w:pStyle w:val="aa"/>
        <w:keepNext/>
        <w:spacing w:before="120" w:after="120"/>
        <w:ind w:left="0"/>
        <w:jc w:val="center"/>
      </w:pPr>
      <w:r w:rsidRPr="00D15847">
        <w:rPr>
          <w:noProof/>
          <w:szCs w:val="32"/>
        </w:rPr>
        <w:lastRenderedPageBreak/>
        <w:drawing>
          <wp:inline distT="0" distB="0" distL="0" distR="0">
            <wp:extent cx="5543550" cy="276225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5847" w:rsidRPr="00BB2487" w:rsidRDefault="00D15847" w:rsidP="00D15847">
      <w:pPr>
        <w:pStyle w:val="ad"/>
        <w:jc w:val="center"/>
        <w:rPr>
          <w:color w:val="632423" w:themeColor="accent2" w:themeShade="80"/>
        </w:rPr>
      </w:pPr>
      <w:r w:rsidRPr="00BB2487">
        <w:rPr>
          <w:color w:val="632423" w:themeColor="accent2" w:themeShade="80"/>
        </w:rPr>
        <w:t>Инвестиции за счет бюджетных средств, млн. рублей</w:t>
      </w:r>
    </w:p>
    <w:p w:rsidR="00073844" w:rsidRDefault="00817648" w:rsidP="00867590">
      <w:pPr>
        <w:spacing w:after="120"/>
        <w:ind w:firstLine="709"/>
        <w:jc w:val="both"/>
      </w:pPr>
      <w:r>
        <w:t>Основной объем инвестиций в основной капитал ежегодно осваива</w:t>
      </w:r>
      <w:r w:rsidR="00904DD3">
        <w:t>л</w:t>
      </w:r>
      <w:r>
        <w:t xml:space="preserve">ся в нескольких </w:t>
      </w:r>
      <w:r w:rsidRPr="005825C6">
        <w:rPr>
          <w:b/>
        </w:rPr>
        <w:t xml:space="preserve">районах </w:t>
      </w:r>
      <w:r w:rsidR="005825C6">
        <w:t>республики</w:t>
      </w:r>
      <w:r>
        <w:t xml:space="preserve">. Так, в 2018 г. </w:t>
      </w:r>
      <w:r w:rsidR="002D4CA3">
        <w:t xml:space="preserve">95,0% общего объема  инвестиций по республике было освоено в  </w:t>
      </w:r>
      <w:r w:rsidR="00611B06" w:rsidRPr="00611B06">
        <w:t>шести</w:t>
      </w:r>
      <w:r w:rsidR="002D4CA3" w:rsidRPr="00850421">
        <w:rPr>
          <w:b/>
        </w:rPr>
        <w:t xml:space="preserve"> </w:t>
      </w:r>
      <w:r w:rsidR="002D4CA3" w:rsidRPr="005825C6">
        <w:t>районах</w:t>
      </w:r>
      <w:r w:rsidR="002D4CA3">
        <w:t xml:space="preserve"> – Ленском, Олекминском, Нерюнгринском, Алданском, Мирнинском, Оленекском и городе республиканского значения Якутске</w:t>
      </w:r>
      <w:r w:rsidR="00611B06">
        <w:t>,</w:t>
      </w:r>
      <w:r w:rsidR="00611B06" w:rsidRPr="00611B06">
        <w:t xml:space="preserve"> </w:t>
      </w:r>
      <w:r w:rsidR="00611B06">
        <w:t>с общим годовым объемом инвестиций более 10 млрд. рублей</w:t>
      </w:r>
    </w:p>
    <w:p w:rsidR="00B228B6" w:rsidRPr="00A6310A" w:rsidRDefault="001507E4" w:rsidP="00B228B6">
      <w:pPr>
        <w:spacing w:after="120"/>
        <w:ind w:firstLine="709"/>
        <w:jc w:val="both"/>
      </w:pPr>
      <w:r w:rsidRPr="00657FF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-9525</wp:posOffset>
            </wp:positionV>
            <wp:extent cx="3645535" cy="3289300"/>
            <wp:effectExtent l="19050" t="0" r="0" b="0"/>
            <wp:wrapSquare wrapText="bothSides"/>
            <wp:docPr id="45" name="Рисунок 6" descr="C:\КАТЯ\ЗАПИСКИ\Инвест деятельность\из интернета\Позиционная_карта_Яку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КАТЯ\ЗАПИСКИ\Инвест деятельность\из интернета\Позиционная_карта_Якути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A4">
        <w:rPr>
          <w:noProof/>
        </w:rPr>
        <w:pict>
          <v:rect id="_x0000_s2050" style="position:absolute;left:0;text-align:left;margin-left:214.05pt;margin-top:158.75pt;width:270.75pt;height:27.4pt;z-index:251659264;mso-position-horizontal-relative:text;mso-position-vertical-relative:text" strokecolor="white [3212]">
            <v:textbox>
              <w:txbxContent>
                <w:p w:rsidR="005825C6" w:rsidRPr="00315DA5" w:rsidRDefault="005825C6" w:rsidP="00817648">
                  <w:pPr>
                    <w:pStyle w:val="ad"/>
                    <w:jc w:val="center"/>
                    <w:rPr>
                      <w:color w:val="632423" w:themeColor="accent2" w:themeShade="80"/>
                    </w:rPr>
                  </w:pPr>
                  <w:r w:rsidRPr="00315DA5">
                    <w:rPr>
                      <w:color w:val="632423" w:themeColor="accent2" w:themeShade="80"/>
                    </w:rPr>
                    <w:t xml:space="preserve">Рисунок </w:t>
                  </w:r>
                  <w:r>
                    <w:rPr>
                      <w:color w:val="632423" w:themeColor="accent2" w:themeShade="80"/>
                    </w:rPr>
                    <w:t>5</w:t>
                  </w:r>
                  <w:r w:rsidRPr="00315DA5">
                    <w:rPr>
                      <w:color w:val="632423" w:themeColor="accent2" w:themeShade="80"/>
                    </w:rPr>
                    <w:t xml:space="preserve">. </w:t>
                  </w:r>
                  <w:r>
                    <w:rPr>
                      <w:color w:val="632423" w:themeColor="accent2" w:themeShade="80"/>
                    </w:rPr>
                    <w:t>Районы с наибольшим объемом инвестиций в основной капитал в 2018 г.</w:t>
                  </w:r>
                </w:p>
                <w:p w:rsidR="005825C6" w:rsidRDefault="005825C6"/>
              </w:txbxContent>
            </v:textbox>
          </v:rect>
        </w:pict>
      </w:r>
      <w:r w:rsidR="00B228B6" w:rsidRPr="00657FF2">
        <w:t xml:space="preserve">На 10 районов с годовым объемом инвестиций  500 млн. </w:t>
      </w:r>
      <w:r w:rsidR="00657FF2" w:rsidRPr="00657FF2">
        <w:t xml:space="preserve"> – 10 млрд. </w:t>
      </w:r>
      <w:r w:rsidR="00B228B6" w:rsidRPr="00657FF2">
        <w:t>рублей приходилось 4,5% общего объема инвестиций (Хангаласский, Оймяконский, Сунтарский, Анабарский, Нюрбинский, Вилюйский, Томпонский, Усть-Майский, Булунский, Мегино-Кангаласский). На остальные 18 районов приходилось всего 0,5% инвестиций.</w:t>
      </w:r>
    </w:p>
    <w:p w:rsidR="007E2F9E" w:rsidRDefault="007E2F9E" w:rsidP="007E2F9E">
      <w:pPr>
        <w:spacing w:after="120"/>
        <w:ind w:firstLine="709"/>
        <w:jc w:val="both"/>
      </w:pPr>
    </w:p>
    <w:p w:rsidR="00657FF2" w:rsidRDefault="00657FF2" w:rsidP="007E2F9E">
      <w:pPr>
        <w:spacing w:after="120"/>
        <w:ind w:firstLine="709"/>
        <w:jc w:val="both"/>
      </w:pPr>
    </w:p>
    <w:p w:rsidR="00E00103" w:rsidRDefault="00E00103" w:rsidP="007E2F9E">
      <w:pPr>
        <w:spacing w:after="120"/>
        <w:ind w:firstLine="709"/>
        <w:jc w:val="right"/>
        <w:rPr>
          <w:color w:val="632423" w:themeColor="accent2" w:themeShade="80"/>
        </w:rPr>
      </w:pP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  <w:r>
        <w:rPr>
          <w:noProof/>
        </w:rPr>
        <w:pict>
          <v:rect id="_x0000_s2061" style="position:absolute;left:0;text-align:left;margin-left:192.15pt;margin-top:1.75pt;width:292.65pt;height:31.35pt;z-index:251666432" strokecolor="white [3212]">
            <v:fill opacity="0"/>
            <v:textbox style="mso-next-textbox:#_x0000_s2061">
              <w:txbxContent>
                <w:p w:rsidR="005825C6" w:rsidRPr="001507E4" w:rsidRDefault="005825C6" w:rsidP="005825C6">
                  <w:pPr>
                    <w:jc w:val="center"/>
                    <w:rPr>
                      <w:b/>
                      <w:color w:val="632423" w:themeColor="accent2" w:themeShade="80"/>
                      <w:sz w:val="18"/>
                      <w:szCs w:val="18"/>
                    </w:rPr>
                  </w:pPr>
                  <w:r w:rsidRPr="001507E4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Районы с н</w:t>
                  </w:r>
                  <w:r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 xml:space="preserve">аибольшим объемом инвестиций в </w:t>
                  </w:r>
                  <w:r w:rsidRPr="001507E4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о</w:t>
                  </w:r>
                  <w:r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с</w:t>
                  </w:r>
                  <w:r w:rsidRPr="001507E4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новной капитал в 2018 г.</w:t>
                  </w:r>
                </w:p>
              </w:txbxContent>
            </v:textbox>
          </v:rect>
        </w:pict>
      </w: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</w:p>
    <w:p w:rsidR="005825C6" w:rsidRDefault="005825C6" w:rsidP="00E00103">
      <w:pPr>
        <w:spacing w:after="0"/>
        <w:ind w:firstLine="709"/>
        <w:jc w:val="right"/>
        <w:rPr>
          <w:color w:val="632423" w:themeColor="accent2" w:themeShade="80"/>
        </w:rPr>
      </w:pPr>
    </w:p>
    <w:p w:rsidR="00415515" w:rsidRPr="003E5F06" w:rsidRDefault="00415515" w:rsidP="00415515">
      <w:pPr>
        <w:spacing w:after="0"/>
        <w:ind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lastRenderedPageBreak/>
        <w:t xml:space="preserve">Инвестиции в основной капитал по районам </w:t>
      </w:r>
      <w:r w:rsidRPr="003E5F06">
        <w:rPr>
          <w:b/>
          <w:color w:val="632423" w:themeColor="accent2" w:themeShade="80"/>
        </w:rPr>
        <w:t xml:space="preserve"> </w:t>
      </w:r>
    </w:p>
    <w:p w:rsidR="00415515" w:rsidRPr="003E5F06" w:rsidRDefault="00415515" w:rsidP="00415515">
      <w:pPr>
        <w:spacing w:after="0"/>
        <w:ind w:firstLine="709"/>
        <w:jc w:val="center"/>
        <w:rPr>
          <w:color w:val="632423" w:themeColor="accent2" w:themeShade="80"/>
          <w:sz w:val="20"/>
        </w:rPr>
      </w:pPr>
      <w:r w:rsidRPr="003E5F06">
        <w:rPr>
          <w:color w:val="632423" w:themeColor="accent2" w:themeShade="80"/>
          <w:sz w:val="20"/>
        </w:rPr>
        <w:t>(</w:t>
      </w:r>
      <w:r>
        <w:rPr>
          <w:color w:val="632423" w:themeColor="accent2" w:themeShade="80"/>
          <w:sz w:val="20"/>
        </w:rPr>
        <w:t>млн. рублей</w:t>
      </w:r>
      <w:r w:rsidRPr="003E5F06">
        <w:rPr>
          <w:color w:val="632423" w:themeColor="accent2" w:themeShade="80"/>
          <w:sz w:val="20"/>
        </w:rPr>
        <w:t>)</w:t>
      </w:r>
    </w:p>
    <w:tbl>
      <w:tblPr>
        <w:tblStyle w:val="-11"/>
        <w:tblW w:w="0" w:type="auto"/>
        <w:tblLook w:val="04A0"/>
      </w:tblPr>
      <w:tblGrid>
        <w:gridCol w:w="2943"/>
        <w:gridCol w:w="993"/>
        <w:gridCol w:w="992"/>
        <w:gridCol w:w="992"/>
        <w:gridCol w:w="992"/>
        <w:gridCol w:w="949"/>
        <w:gridCol w:w="1050"/>
        <w:gridCol w:w="943"/>
      </w:tblGrid>
      <w:tr w:rsidR="00611B06" w:rsidRPr="00E8583B" w:rsidTr="00E00103">
        <w:trPr>
          <w:cnfStyle w:val="100000000000"/>
          <w:tblHeader/>
        </w:trPr>
        <w:tc>
          <w:tcPr>
            <w:cnfStyle w:val="001000000000"/>
            <w:tcW w:w="2943" w:type="dxa"/>
            <w:vMerge w:val="restart"/>
            <w:tcBorders>
              <w:top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2016</w:t>
            </w:r>
          </w:p>
        </w:tc>
        <w:tc>
          <w:tcPr>
            <w:tcW w:w="949" w:type="dxa"/>
            <w:vMerge w:val="restar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2017</w:t>
            </w:r>
          </w:p>
        </w:tc>
        <w:tc>
          <w:tcPr>
            <w:tcW w:w="1993" w:type="dxa"/>
            <w:gridSpan w:val="2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2018</w:t>
            </w:r>
          </w:p>
        </w:tc>
      </w:tr>
      <w:tr w:rsidR="00611B06" w:rsidRPr="00E8583B" w:rsidTr="00E00103">
        <w:trPr>
          <w:cnfStyle w:val="100000000000"/>
          <w:tblHeader/>
        </w:trPr>
        <w:tc>
          <w:tcPr>
            <w:cnfStyle w:val="001000000000"/>
            <w:tcW w:w="2943" w:type="dxa"/>
            <w:vMerge/>
            <w:tcBorders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993" w:type="dxa"/>
            <w:vMerge/>
            <w:tcBorders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</w:p>
        </w:tc>
        <w:tc>
          <w:tcPr>
            <w:tcW w:w="992" w:type="dxa"/>
            <w:vMerge/>
            <w:tcBorders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</w:p>
        </w:tc>
        <w:tc>
          <w:tcPr>
            <w:tcW w:w="992" w:type="dxa"/>
            <w:vMerge/>
            <w:tcBorders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</w:p>
        </w:tc>
        <w:tc>
          <w:tcPr>
            <w:tcW w:w="992" w:type="dxa"/>
            <w:vMerge/>
            <w:tcBorders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</w:p>
        </w:tc>
        <w:tc>
          <w:tcPr>
            <w:tcW w:w="949" w:type="dxa"/>
            <w:vMerge/>
            <w:tcBorders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611B06" w:rsidRPr="003E5F06" w:rsidRDefault="00611B06" w:rsidP="00415515">
            <w:pPr>
              <w:jc w:val="center"/>
              <w:cnfStyle w:val="10000000000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всего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611B06" w:rsidRPr="00611B06" w:rsidRDefault="00611B06" w:rsidP="00415515">
            <w:pPr>
              <w:jc w:val="center"/>
              <w:cnfStyle w:val="100000000000"/>
              <w:rPr>
                <w:i/>
                <w:color w:val="632423" w:themeColor="accent2" w:themeShade="80"/>
              </w:rPr>
            </w:pPr>
            <w:r w:rsidRPr="00611B06">
              <w:rPr>
                <w:i/>
                <w:color w:val="632423" w:themeColor="accent2" w:themeShade="80"/>
              </w:rPr>
              <w:t>место в РС(Я)</w:t>
            </w:r>
          </w:p>
        </w:tc>
      </w:tr>
      <w:tr w:rsidR="00611B06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611B06" w:rsidRPr="003E5F06" w:rsidRDefault="00611B06" w:rsidP="0041551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163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490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158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142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173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077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251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829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350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825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366 319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</w:tcPr>
          <w:p w:rsidR="00611B06" w:rsidRPr="00611B06" w:rsidRDefault="00611B06" w:rsidP="00611B06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611B06">
              <w:rPr>
                <w:bCs/>
                <w:i/>
                <w:color w:val="632423" w:themeColor="accent2" w:themeShade="80"/>
              </w:rPr>
              <w:t>-</w:t>
            </w:r>
          </w:p>
        </w:tc>
      </w:tr>
      <w:tr w:rsidR="00611B06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611B06" w:rsidRPr="003E5F06" w:rsidRDefault="00611B06" w:rsidP="00415515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 том числе: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3E5F06" w:rsidRDefault="00611B06" w:rsidP="0041551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3E5F06" w:rsidRDefault="00611B06" w:rsidP="0041551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3E5F06" w:rsidRDefault="00611B06" w:rsidP="0041551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3E5F06" w:rsidRDefault="00611B06" w:rsidP="0041551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3E5F06" w:rsidRDefault="00611B06" w:rsidP="0041551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3E5F06" w:rsidRDefault="00611B06" w:rsidP="0041551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</w:tcPr>
          <w:p w:rsidR="00611B06" w:rsidRPr="00611B06" w:rsidRDefault="00611B06" w:rsidP="00611B06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</w:p>
        </w:tc>
      </w:tr>
      <w:tr w:rsidR="00611B06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611B06" w:rsidRDefault="00611B06" w:rsidP="0041551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Абыйский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230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208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153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110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611B06" w:rsidRDefault="00611B06" w:rsidP="00611B06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611B06">
              <w:rPr>
                <w:bCs/>
                <w:i/>
                <w:color w:val="632423" w:themeColor="accent2" w:themeShade="80"/>
              </w:rPr>
              <w:t>23</w:t>
            </w:r>
          </w:p>
        </w:tc>
      </w:tr>
      <w:tr w:rsidR="00611B06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611B06" w:rsidRDefault="00611B06" w:rsidP="0041551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Алданский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009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378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095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833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31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793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748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611B06" w:rsidRPr="00611B06" w:rsidRDefault="00611B06" w:rsidP="00611B06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611B06">
              <w:rPr>
                <w:bCs/>
                <w:i/>
                <w:color w:val="632423" w:themeColor="accent2" w:themeShade="80"/>
              </w:rPr>
              <w:t>5</w:t>
            </w:r>
          </w:p>
        </w:tc>
      </w:tr>
      <w:tr w:rsidR="00611B06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611B06" w:rsidRDefault="00611B06" w:rsidP="0041551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Аллаиховский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126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27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15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25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611B06" w:rsidRDefault="00611B06" w:rsidP="00611B06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611B06">
              <w:rPr>
                <w:bCs/>
                <w:i/>
                <w:color w:val="632423" w:themeColor="accent2" w:themeShade="80"/>
              </w:rPr>
              <w:t>33</w:t>
            </w:r>
          </w:p>
        </w:tc>
      </w:tr>
      <w:tr w:rsidR="00611B06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611B06" w:rsidRPr="00461460" w:rsidRDefault="00611B06" w:rsidP="0041551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Амгинский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247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170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134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519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226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181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611B06" w:rsidRDefault="00E00103" w:rsidP="00611B06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21</w:t>
            </w:r>
          </w:p>
        </w:tc>
      </w:tr>
      <w:tr w:rsidR="00611B06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611B06" w:rsidRDefault="00611B06" w:rsidP="00415515">
            <w:pPr>
              <w:rPr>
                <w:b w:val="0"/>
                <w:color w:val="632423" w:themeColor="accent2" w:themeShade="80"/>
              </w:rPr>
            </w:pPr>
            <w:r w:rsidRPr="00415515">
              <w:rPr>
                <w:b w:val="0"/>
                <w:color w:val="632423" w:themeColor="accent2" w:themeShade="80"/>
              </w:rPr>
              <w:t>Анабарский национальный (долгано-эвенкийский)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423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456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854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948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660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415515" w:rsidRDefault="00611B06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15515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415515">
              <w:rPr>
                <w:bCs/>
                <w:color w:val="632423" w:themeColor="accent2" w:themeShade="80"/>
              </w:rPr>
              <w:t>962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611B06" w:rsidRDefault="00E00103" w:rsidP="00611B06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11</w:t>
            </w:r>
          </w:p>
        </w:tc>
      </w:tr>
      <w:tr w:rsidR="00611B06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611B06" w:rsidRDefault="00611B06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Булунский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E712A2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99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E712A2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1 279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E712A2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993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E712A2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844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E712A2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1 938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E712A2" w:rsidRDefault="00611B06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653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11B06" w:rsidRPr="00611B06" w:rsidRDefault="00E00103" w:rsidP="00611B06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16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Верхневилюйский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164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87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98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142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120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99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24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Верхнеколымский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89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56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38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36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31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32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Pr="003E5F06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Верхоянский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31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38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45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51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28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Pr="003E5F06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Вилюйский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954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128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367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722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352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318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13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Pr="003E5F06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Горный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69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59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70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109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77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52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27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 w:rsidRPr="00E712A2">
              <w:rPr>
                <w:b w:val="0"/>
                <w:color w:val="632423" w:themeColor="accent2" w:themeShade="80"/>
              </w:rPr>
              <w:t>Жиганский национальный эвенкийский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410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206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798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130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9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34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Кобяйский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112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100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45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218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87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49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29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Ленский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129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30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451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57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138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109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293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148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636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152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230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1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Pr="003E5F06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Мегино-Кангаласский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522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408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284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687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204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712A2" w:rsidRDefault="00E00103" w:rsidP="00E712A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569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17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E00103" w:rsidRPr="003E5F06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Мирнинский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388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27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338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776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25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800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164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712A2" w:rsidRDefault="00E00103" w:rsidP="00E712A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E712A2">
              <w:rPr>
                <w:bCs/>
                <w:color w:val="632423" w:themeColor="accent2" w:themeShade="80"/>
              </w:rPr>
              <w:t>16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E712A2">
              <w:rPr>
                <w:bCs/>
                <w:color w:val="632423" w:themeColor="accent2" w:themeShade="80"/>
              </w:rPr>
              <w:t>939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6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Момский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83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15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15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36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66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26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Намский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147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182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225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281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385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92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25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Нерюнгринский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950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386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902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348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580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927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4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Нижнеколымский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29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38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38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30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Нюрбинский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889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049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824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882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048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889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12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Оймяконский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762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300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964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853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423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690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9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Олекминский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214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683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072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723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54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375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216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3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Оленекский эвенкийский национальный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142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353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239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936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979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7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Среднеколымский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57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51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41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98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25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38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31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Сунтарский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802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450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301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116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085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979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10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Таттинский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347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456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280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527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561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488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18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Томпонский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140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69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200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403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364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032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14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Усть-Алданский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252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169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259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650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106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167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22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Усть-Майский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223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269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328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562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530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888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15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Усть-Янский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91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257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99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143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142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411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19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Хангаласский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401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696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823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675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848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348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8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Чурапчинский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331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486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137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742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94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191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20</w:t>
            </w:r>
          </w:p>
        </w:tc>
      </w:tr>
      <w:tr w:rsidR="00E00103" w:rsidRPr="00CD7A68" w:rsidTr="00E00103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Эвено-Бытантайский национальный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0</w:t>
            </w:r>
            <w:r>
              <w:rPr>
                <w:bCs/>
                <w:color w:val="632423" w:themeColor="accent2" w:themeShade="80"/>
              </w:rPr>
              <w:t>,5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25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11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7F60C9" w:rsidRDefault="00E0010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8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00103" w:rsidRPr="00E00103" w:rsidRDefault="00E00103" w:rsidP="00E00103">
            <w:pPr>
              <w:jc w:val="center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E00103">
              <w:rPr>
                <w:bCs/>
                <w:i/>
                <w:color w:val="632423" w:themeColor="accent2" w:themeShade="80"/>
              </w:rPr>
              <w:t>35</w:t>
            </w:r>
          </w:p>
        </w:tc>
      </w:tr>
      <w:tr w:rsidR="00E00103" w:rsidRPr="00CD7A68" w:rsidTr="00E00103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E00103" w:rsidRDefault="00E00103" w:rsidP="00E712A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Город республиканского значения Якутск</w:t>
            </w:r>
          </w:p>
        </w:tc>
        <w:tc>
          <w:tcPr>
            <w:tcW w:w="99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944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39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243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034</w:t>
            </w:r>
          </w:p>
        </w:tc>
        <w:tc>
          <w:tcPr>
            <w:tcW w:w="99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294</w:t>
            </w:r>
          </w:p>
        </w:tc>
        <w:tc>
          <w:tcPr>
            <w:tcW w:w="94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7F60C9">
              <w:rPr>
                <w:bCs/>
                <w:color w:val="632423" w:themeColor="accent2" w:themeShade="80"/>
              </w:rPr>
              <w:t>40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7F60C9">
              <w:rPr>
                <w:bCs/>
                <w:color w:val="632423" w:themeColor="accent2" w:themeShade="80"/>
              </w:rPr>
              <w:t>600</w:t>
            </w:r>
          </w:p>
        </w:tc>
        <w:tc>
          <w:tcPr>
            <w:tcW w:w="1050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7F60C9" w:rsidRDefault="00E0010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49 844</w:t>
            </w:r>
          </w:p>
        </w:tc>
        <w:tc>
          <w:tcPr>
            <w:tcW w:w="94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E00103" w:rsidRPr="00611B06" w:rsidRDefault="00E00103" w:rsidP="00611B06">
            <w:pPr>
              <w:jc w:val="center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2</w:t>
            </w:r>
          </w:p>
        </w:tc>
      </w:tr>
    </w:tbl>
    <w:p w:rsidR="00913BBD" w:rsidRDefault="00913BBD" w:rsidP="0001701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t xml:space="preserve">В 2018 г. наибольший объем инвестиций </w:t>
      </w:r>
      <w:r w:rsidRPr="00913BBD">
        <w:rPr>
          <w:b/>
        </w:rPr>
        <w:t>на душу населения</w:t>
      </w:r>
      <w:r>
        <w:t xml:space="preserve"> (более 1 млн. рублей) был отмечен в Ленском, Оленекском и Олекминском районах. В шести районах этот показатель </w:t>
      </w:r>
      <w:r>
        <w:lastRenderedPageBreak/>
        <w:t xml:space="preserve">превышал среднереспубликанский уровень (379,3 тыс. рублей). Наименьший объем инвестиций на душу населения сложился в Жиганском районе и составил 2 тыс. рублей. </w:t>
      </w:r>
      <w:r w:rsidR="00BB17EF">
        <w:t>Соотношение между районами с наибольшим и наименьшим значением данного показателя составило более двух тысяч раз.</w:t>
      </w:r>
    </w:p>
    <w:p w:rsidR="006304DB" w:rsidRDefault="006304DB" w:rsidP="006304DB">
      <w:pPr>
        <w:spacing w:after="0"/>
        <w:ind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Распределение инвестиций в основной капитал в расчете на душу населения </w:t>
      </w:r>
    </w:p>
    <w:p w:rsidR="006304DB" w:rsidRPr="003E5F06" w:rsidRDefault="006304DB" w:rsidP="006304DB">
      <w:pPr>
        <w:spacing w:after="0"/>
        <w:ind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по районам в 2018 г.</w:t>
      </w:r>
      <w:r w:rsidRPr="003E5F06">
        <w:rPr>
          <w:b/>
          <w:color w:val="632423" w:themeColor="accent2" w:themeShade="80"/>
        </w:rPr>
        <w:t xml:space="preserve"> </w:t>
      </w:r>
    </w:p>
    <w:p w:rsidR="006304DB" w:rsidRPr="003E5F06" w:rsidRDefault="006304DB" w:rsidP="006304DB">
      <w:pPr>
        <w:spacing w:after="0"/>
        <w:ind w:firstLine="709"/>
        <w:jc w:val="center"/>
        <w:rPr>
          <w:color w:val="632423" w:themeColor="accent2" w:themeShade="80"/>
          <w:sz w:val="20"/>
        </w:rPr>
      </w:pPr>
      <w:r w:rsidRPr="003E5F06">
        <w:rPr>
          <w:color w:val="632423" w:themeColor="accent2" w:themeShade="80"/>
          <w:sz w:val="20"/>
        </w:rPr>
        <w:t>(</w:t>
      </w:r>
      <w:r>
        <w:rPr>
          <w:color w:val="632423" w:themeColor="accent2" w:themeShade="80"/>
          <w:sz w:val="20"/>
        </w:rPr>
        <w:t>рублей</w:t>
      </w:r>
      <w:r w:rsidRPr="003E5F06">
        <w:rPr>
          <w:color w:val="632423" w:themeColor="accent2" w:themeShade="80"/>
          <w:sz w:val="20"/>
        </w:rPr>
        <w:t>)</w:t>
      </w:r>
    </w:p>
    <w:tbl>
      <w:tblPr>
        <w:tblW w:w="9781" w:type="dxa"/>
        <w:tblInd w:w="108" w:type="dxa"/>
        <w:tblLook w:val="04A0"/>
      </w:tblPr>
      <w:tblGrid>
        <w:gridCol w:w="2268"/>
        <w:gridCol w:w="851"/>
        <w:gridCol w:w="2410"/>
        <w:gridCol w:w="992"/>
        <w:gridCol w:w="2126"/>
        <w:gridCol w:w="1134"/>
      </w:tblGrid>
      <w:tr w:rsidR="007E2F9E" w:rsidRPr="007E2F9E" w:rsidTr="000E0DB7">
        <w:trPr>
          <w:trHeight w:val="20"/>
        </w:trPr>
        <w:tc>
          <w:tcPr>
            <w:tcW w:w="3119" w:type="dxa"/>
            <w:gridSpan w:val="2"/>
            <w:tcBorders>
              <w:top w:val="single" w:sz="8" w:space="0" w:color="632423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 xml:space="preserve">До 10 тыс. руб. – </w:t>
            </w:r>
          </w:p>
          <w:p w:rsidR="007E2F9E" w:rsidRPr="007E2F9E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632423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>13 районов</w:t>
            </w:r>
          </w:p>
        </w:tc>
        <w:tc>
          <w:tcPr>
            <w:tcW w:w="3402" w:type="dxa"/>
            <w:gridSpan w:val="2"/>
            <w:tcBorders>
              <w:top w:val="single" w:sz="8" w:space="0" w:color="632423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 xml:space="preserve">От 10 до 100 тыс. руб. – </w:t>
            </w:r>
          </w:p>
          <w:p w:rsidR="007E2F9E" w:rsidRPr="007E2F9E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632423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>11 районов</w:t>
            </w:r>
          </w:p>
        </w:tc>
        <w:tc>
          <w:tcPr>
            <w:tcW w:w="3260" w:type="dxa"/>
            <w:gridSpan w:val="2"/>
            <w:tcBorders>
              <w:top w:val="single" w:sz="8" w:space="0" w:color="632423"/>
              <w:left w:val="nil"/>
              <w:bottom w:val="single" w:sz="8" w:space="0" w:color="632423"/>
              <w:right w:val="nil"/>
            </w:tcBorders>
            <w:shd w:val="clear" w:color="auto" w:fill="auto"/>
            <w:hideMark/>
          </w:tcPr>
          <w:p w:rsidR="007E2F9E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 xml:space="preserve">Более 100 тыс. руб. – </w:t>
            </w:r>
          </w:p>
          <w:p w:rsidR="007E2F9E" w:rsidRPr="007E2F9E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632423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>11 районов</w:t>
            </w:r>
          </w:p>
        </w:tc>
      </w:tr>
      <w:tr w:rsidR="000E0DB7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Жиганский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2 044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Амгинский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10 821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Хангаласский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102 349</w:t>
            </w:r>
          </w:p>
        </w:tc>
      </w:tr>
      <w:tr w:rsidR="007E2F9E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Эвено-Бытантайский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2 793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Момский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16 457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Усть-Майский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119 766</w:t>
            </w:r>
          </w:p>
        </w:tc>
      </w:tr>
      <w:tr w:rsidR="000E0DB7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Намский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3 751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Мегино-Кангаласский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18 438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г. Якутск с п.т.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145 690</w:t>
            </w:r>
          </w:p>
        </w:tc>
      </w:tr>
      <w:tr w:rsidR="007E2F9E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Кобяйский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3 966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Абыйский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27 632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Мирнинский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234 221</w:t>
            </w:r>
          </w:p>
        </w:tc>
      </w:tr>
      <w:tr w:rsidR="000E0DB7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Горный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4 377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Таттинский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30 016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Оймяконский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321 033</w:t>
            </w:r>
          </w:p>
        </w:tc>
      </w:tr>
      <w:tr w:rsidR="007E2F9E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Верхоянский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4 560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Вилюйский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52 738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Анабарский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547 804</w:t>
            </w:r>
          </w:p>
        </w:tc>
      </w:tr>
      <w:tr w:rsidR="000E0DB7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Верхневилюйский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4 701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Усть-Янский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58 254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Нерюнгринский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568 927</w:t>
            </w:r>
          </w:p>
        </w:tc>
      </w:tr>
      <w:tr w:rsidR="007E2F9E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Среднеколымский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5 071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Булунский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78 354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Алданский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686 435</w:t>
            </w:r>
          </w:p>
        </w:tc>
      </w:tr>
      <w:tr w:rsidR="000E0DB7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Верхнеколымский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7 623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Нюрбинский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79 245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Олекминский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1 984 757</w:t>
            </w:r>
          </w:p>
        </w:tc>
      </w:tr>
      <w:tr w:rsidR="007E2F9E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Усть-Алданский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8 095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Томпонский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81 586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Оленекский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2 671 285</w:t>
            </w:r>
          </w:p>
        </w:tc>
      </w:tr>
      <w:tr w:rsidR="000E0DB7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Нижнеколымский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8 907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Сунтарский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84 110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Ленский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4 136 460</w:t>
            </w:r>
          </w:p>
        </w:tc>
      </w:tr>
      <w:tr w:rsidR="007E2F9E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Чурапчинский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9 049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632423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632423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> </w:t>
            </w:r>
          </w:p>
        </w:tc>
      </w:tr>
      <w:tr w:rsidR="000E0DB7" w:rsidRPr="007E2F9E" w:rsidTr="000E0DB7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bCs/>
                <w:color w:val="632423" w:themeColor="accent2" w:themeShade="80"/>
              </w:rPr>
              <w:t>Аллаиховский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9 307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/>
              </w:rPr>
            </w:pPr>
            <w:r w:rsidRPr="007E2F9E">
              <w:rPr>
                <w:rFonts w:ascii="Calibri" w:eastAsia="Times New Roman" w:hAnsi="Calibri" w:cs="Arial"/>
                <w:color w:val="632423" w:themeColor="accent2" w:themeShade="8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632423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000000" w:fill="EFD3D2"/>
            <w:hideMark/>
          </w:tcPr>
          <w:p w:rsidR="007E2F9E" w:rsidRPr="007E2F9E" w:rsidRDefault="007E2F9E" w:rsidP="007E2F9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632423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> </w:t>
            </w:r>
          </w:p>
        </w:tc>
      </w:tr>
      <w:tr w:rsidR="007E2F9E" w:rsidRPr="007E2F9E" w:rsidTr="007E2F9E">
        <w:tc>
          <w:tcPr>
            <w:tcW w:w="9781" w:type="dxa"/>
            <w:gridSpan w:val="6"/>
            <w:tcBorders>
              <w:top w:val="single" w:sz="8" w:space="0" w:color="632423"/>
              <w:left w:val="nil"/>
              <w:bottom w:val="single" w:sz="8" w:space="0" w:color="632423"/>
              <w:right w:val="nil"/>
            </w:tcBorders>
            <w:shd w:val="clear" w:color="auto" w:fill="auto"/>
            <w:hideMark/>
          </w:tcPr>
          <w:p w:rsidR="007E2F9E" w:rsidRPr="007E2F9E" w:rsidRDefault="007E2F9E" w:rsidP="007E2F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632423"/>
              </w:rPr>
            </w:pPr>
            <w:r w:rsidRPr="007E2F9E">
              <w:rPr>
                <w:rFonts w:ascii="Calibri" w:eastAsia="Times New Roman" w:hAnsi="Calibri" w:cs="Arial"/>
                <w:b/>
                <w:bCs/>
                <w:color w:val="632423" w:themeColor="accent2" w:themeShade="80"/>
              </w:rPr>
              <w:t>Справочно: по Республике Саха (Якутия) – 379 342 руб.</w:t>
            </w:r>
          </w:p>
        </w:tc>
      </w:tr>
    </w:tbl>
    <w:p w:rsidR="00D36C62" w:rsidRPr="003E5F06" w:rsidRDefault="00646C24" w:rsidP="007F1DDB">
      <w:pPr>
        <w:spacing w:before="120" w:after="120"/>
        <w:ind w:firstLine="709"/>
        <w:jc w:val="both"/>
        <w:rPr>
          <w:color w:val="632423" w:themeColor="accent2" w:themeShade="80"/>
        </w:rPr>
      </w:pPr>
      <w:r w:rsidRPr="00467524">
        <w:t>В 2017-2018 гг. наибольшую дол</w:t>
      </w:r>
      <w:r w:rsidR="00A340BD" w:rsidRPr="00467524">
        <w:t>ю</w:t>
      </w:r>
      <w:r w:rsidRPr="00467524">
        <w:t xml:space="preserve"> занимали вложения в </w:t>
      </w:r>
      <w:r w:rsidRPr="007F1DDB">
        <w:rPr>
          <w:b/>
        </w:rPr>
        <w:t>виды экономической деятельности</w:t>
      </w:r>
      <w:r w:rsidRPr="00467524">
        <w:t xml:space="preserve"> «Добыча полезных ископаемых»</w:t>
      </w:r>
      <w:r w:rsidR="00467524" w:rsidRPr="00467524">
        <w:t xml:space="preserve"> (47,3%-49,2%)</w:t>
      </w:r>
      <w:r w:rsidRPr="00467524">
        <w:t xml:space="preserve"> и «Транспортировка и хранение»</w:t>
      </w:r>
      <w:r w:rsidR="00467524" w:rsidRPr="00467524">
        <w:t xml:space="preserve"> (30,8%-34,4%)</w:t>
      </w:r>
      <w:r w:rsidRPr="00467524">
        <w:t xml:space="preserve">. На эти два вида деятельности приходилось более 80% от общего объема инвестиций по республике. </w:t>
      </w:r>
    </w:p>
    <w:p w:rsidR="00D36C62" w:rsidRPr="003E5F06" w:rsidRDefault="00D36C62" w:rsidP="00D36C62">
      <w:pPr>
        <w:spacing w:after="0"/>
        <w:ind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Инвестиции в основной капитал по видам экономической деятельности в 2017-2018 гг.</w:t>
      </w:r>
    </w:p>
    <w:p w:rsidR="00D36C62" w:rsidRPr="003E5F06" w:rsidRDefault="00D36C62" w:rsidP="00D36C62">
      <w:pPr>
        <w:spacing w:after="0"/>
        <w:ind w:firstLine="709"/>
        <w:jc w:val="center"/>
        <w:rPr>
          <w:color w:val="632423" w:themeColor="accent2" w:themeShade="80"/>
          <w:sz w:val="20"/>
        </w:rPr>
      </w:pPr>
      <w:r w:rsidRPr="003E5F06">
        <w:rPr>
          <w:color w:val="632423" w:themeColor="accent2" w:themeShade="80"/>
          <w:sz w:val="20"/>
        </w:rPr>
        <w:t>(</w:t>
      </w:r>
      <w:r>
        <w:rPr>
          <w:color w:val="632423" w:themeColor="accent2" w:themeShade="80"/>
          <w:sz w:val="20"/>
        </w:rPr>
        <w:t>млн. рублей</w:t>
      </w:r>
      <w:r w:rsidRPr="003E5F06">
        <w:rPr>
          <w:color w:val="632423" w:themeColor="accent2" w:themeShade="80"/>
          <w:sz w:val="20"/>
        </w:rPr>
        <w:t>)</w:t>
      </w:r>
    </w:p>
    <w:tbl>
      <w:tblPr>
        <w:tblStyle w:val="-11"/>
        <w:tblW w:w="9889" w:type="dxa"/>
        <w:tblLook w:val="04A0"/>
      </w:tblPr>
      <w:tblGrid>
        <w:gridCol w:w="6076"/>
        <w:gridCol w:w="1091"/>
        <w:gridCol w:w="1091"/>
        <w:gridCol w:w="1631"/>
      </w:tblGrid>
      <w:tr w:rsidR="00D36C62" w:rsidRPr="00E8583B" w:rsidTr="007F1DDB">
        <w:trPr>
          <w:cnfStyle w:val="100000000000"/>
          <w:tblHeader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D36C62" w:rsidRPr="003E5F06" w:rsidRDefault="00D36C62" w:rsidP="00D36C62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D36C62" w:rsidRPr="003E5F06" w:rsidRDefault="00D36C62" w:rsidP="00D36C62">
            <w:pPr>
              <w:jc w:val="center"/>
              <w:cnfStyle w:val="10000000000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2017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D36C62" w:rsidRPr="003E5F06" w:rsidRDefault="00D36C62" w:rsidP="00D36C62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</w:t>
            </w:r>
            <w:r>
              <w:rPr>
                <w:color w:val="632423" w:themeColor="accent2" w:themeShade="80"/>
              </w:rPr>
              <w:t>18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D36C62" w:rsidRPr="003E5F06" w:rsidRDefault="00A340BD" w:rsidP="00A340BD">
            <w:pPr>
              <w:jc w:val="center"/>
              <w:cnfStyle w:val="10000000000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 xml:space="preserve">2018 г. </w:t>
            </w:r>
            <w:r w:rsidR="00D36C62">
              <w:rPr>
                <w:color w:val="632423" w:themeColor="accent2" w:themeShade="80"/>
              </w:rPr>
              <w:t xml:space="preserve">в % </w:t>
            </w:r>
            <w:r>
              <w:rPr>
                <w:color w:val="632423" w:themeColor="accent2" w:themeShade="80"/>
              </w:rPr>
              <w:t xml:space="preserve">                 </w:t>
            </w:r>
            <w:r w:rsidR="00D36C62">
              <w:rPr>
                <w:color w:val="632423" w:themeColor="accent2" w:themeShade="80"/>
              </w:rPr>
              <w:t xml:space="preserve">к </w:t>
            </w:r>
            <w:r>
              <w:rPr>
                <w:color w:val="632423" w:themeColor="accent2" w:themeShade="80"/>
              </w:rPr>
              <w:t xml:space="preserve">2017 </w:t>
            </w:r>
            <w:r w:rsidR="00D36C62">
              <w:rPr>
                <w:color w:val="632423" w:themeColor="accent2" w:themeShade="80"/>
              </w:rPr>
              <w:t>г</w:t>
            </w:r>
            <w:r>
              <w:rPr>
                <w:color w:val="632423" w:themeColor="accent2" w:themeShade="80"/>
              </w:rPr>
              <w:t>.</w:t>
            </w:r>
            <w:r w:rsidR="00F523EA" w:rsidRPr="00F523EA">
              <w:rPr>
                <w:color w:val="632423" w:themeColor="accent2" w:themeShade="80"/>
                <w:vertAlign w:val="superscript"/>
              </w:rPr>
              <w:t>1)</w:t>
            </w:r>
            <w:r w:rsidR="00D36C62">
              <w:rPr>
                <w:color w:val="632423" w:themeColor="accent2" w:themeShade="80"/>
              </w:rPr>
              <w:t xml:space="preserve"> </w:t>
            </w:r>
          </w:p>
        </w:tc>
      </w:tr>
      <w:tr w:rsidR="00D36C62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D36C62" w:rsidRPr="003E5F06" w:rsidRDefault="00D36C62" w:rsidP="00D36C6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Всего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415515" w:rsidRDefault="00F523EA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350 825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415515" w:rsidRDefault="00F523EA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366 319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415515" w:rsidRDefault="00F523EA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102,0</w:t>
            </w:r>
          </w:p>
        </w:tc>
      </w:tr>
      <w:tr w:rsidR="00D36C62" w:rsidRPr="00CD7A68" w:rsidTr="00F523EA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Pr="003E5F06" w:rsidRDefault="00D36C62" w:rsidP="00D36C62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 том числе: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3E5F06" w:rsidRDefault="00D36C62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3E5F06" w:rsidRDefault="00D36C62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nil"/>
            </w:tcBorders>
            <w:shd w:val="clear" w:color="auto" w:fill="auto"/>
            <w:vAlign w:val="bottom"/>
          </w:tcPr>
          <w:p w:rsidR="00D36C62" w:rsidRPr="003E5F06" w:rsidRDefault="00D36C62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</w:tr>
      <w:tr w:rsidR="00D36C62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Default="00F523EA" w:rsidP="00D36C62">
            <w:pPr>
              <w:rPr>
                <w:b w:val="0"/>
                <w:color w:val="632423" w:themeColor="accent2" w:themeShade="80"/>
              </w:rPr>
            </w:pPr>
            <w:r w:rsidRPr="00F523EA">
              <w:rPr>
                <w:b w:val="0"/>
                <w:color w:val="632423" w:themeColor="accent2" w:themeShade="80"/>
              </w:rPr>
              <w:t>Сельское, лесное хозяйство, охота, рыболовство и рыбоводство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1756D5" w:rsidRDefault="00F523EA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597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1756D5" w:rsidRDefault="00F523EA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961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1756D5" w:rsidRDefault="00F523EA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155,5</w:t>
            </w:r>
          </w:p>
        </w:tc>
      </w:tr>
      <w:tr w:rsidR="00D36C62" w:rsidRPr="00CD7A68" w:rsidTr="00A340BD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D36C62" w:rsidRDefault="00F523EA" w:rsidP="00D36C6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Добыча полезных ископаемых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1756D5" w:rsidRDefault="00F523EA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165 793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1756D5" w:rsidRDefault="00F523EA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180 309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nil"/>
            </w:tcBorders>
            <w:shd w:val="clear" w:color="auto" w:fill="F2DBDB" w:themeFill="accent2" w:themeFillTint="33"/>
            <w:vAlign w:val="bottom"/>
          </w:tcPr>
          <w:p w:rsidR="00D36C62" w:rsidRPr="001756D5" w:rsidRDefault="00F523EA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106,1</w:t>
            </w:r>
          </w:p>
        </w:tc>
      </w:tr>
      <w:tr w:rsidR="00D36C62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Pr="00461460" w:rsidRDefault="00D36C62" w:rsidP="00D36C6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Обрабатывающие производства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1756D5" w:rsidRDefault="00F523EA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1 776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1756D5" w:rsidRDefault="00F523EA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4 380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1756D5" w:rsidRDefault="00F523EA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2,4 р.</w:t>
            </w:r>
          </w:p>
        </w:tc>
      </w:tr>
      <w:tr w:rsidR="00D36C62" w:rsidRPr="00CD7A68" w:rsidTr="00A340BD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D36C62" w:rsidRDefault="00F523EA" w:rsidP="00F523EA">
            <w:pPr>
              <w:rPr>
                <w:b w:val="0"/>
                <w:color w:val="632423" w:themeColor="accent2" w:themeShade="80"/>
              </w:rPr>
            </w:pPr>
            <w:r w:rsidRPr="00F523EA">
              <w:rPr>
                <w:b w:val="0"/>
                <w:color w:val="632423" w:themeColor="accent2" w:themeShade="80"/>
              </w:rPr>
              <w:t>Обеспечение электрическо</w:t>
            </w:r>
            <w:r>
              <w:rPr>
                <w:b w:val="0"/>
                <w:color w:val="632423" w:themeColor="accent2" w:themeShade="80"/>
              </w:rPr>
              <w:t>й</w:t>
            </w:r>
            <w:r w:rsidRPr="00F523EA">
              <w:rPr>
                <w:b w:val="0"/>
                <w:color w:val="632423" w:themeColor="accent2" w:themeShade="80"/>
              </w:rPr>
              <w:t xml:space="preserve"> энергией, газом и паром; кондиционирование воздуха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1756D5" w:rsidRDefault="00F523EA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13 594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1756D5" w:rsidRDefault="00942D1E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15 030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1756D5" w:rsidRDefault="00942D1E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107,8</w:t>
            </w:r>
          </w:p>
        </w:tc>
      </w:tr>
      <w:tr w:rsidR="00942D1E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942D1E" w:rsidRDefault="00942D1E" w:rsidP="00D36C62">
            <w:pPr>
              <w:rPr>
                <w:b w:val="0"/>
                <w:color w:val="632423" w:themeColor="accent2" w:themeShade="80"/>
              </w:rPr>
            </w:pPr>
            <w:r w:rsidRPr="00942D1E">
              <w:rPr>
                <w:b w:val="0"/>
                <w:color w:val="632423" w:themeColor="accent2" w:themeShade="8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42D1E" w:rsidRPr="00CD0611" w:rsidRDefault="00942D1E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1 946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942D1E" w:rsidRPr="00CD0611" w:rsidRDefault="00942D1E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3 516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942D1E" w:rsidRPr="00CD0611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176,1</w:t>
            </w:r>
          </w:p>
        </w:tc>
      </w:tr>
      <w:tr w:rsidR="00D36C62" w:rsidRPr="00CD7A68" w:rsidTr="00A340BD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D36C62" w:rsidRDefault="00D36C62" w:rsidP="00D36C6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Строительство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CD0611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16 206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CD0611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16 465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nil"/>
            </w:tcBorders>
            <w:shd w:val="clear" w:color="auto" w:fill="F2DBDB" w:themeFill="accent2" w:themeFillTint="33"/>
            <w:vAlign w:val="bottom"/>
          </w:tcPr>
          <w:p w:rsidR="00D36C62" w:rsidRPr="00CD0611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99,8</w:t>
            </w:r>
          </w:p>
        </w:tc>
      </w:tr>
      <w:tr w:rsidR="00D36C62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Default="006A6B18" w:rsidP="00D36C62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CD0611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450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CD0611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2 214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CD0611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4,7р.</w:t>
            </w:r>
          </w:p>
        </w:tc>
      </w:tr>
      <w:tr w:rsidR="00D36C62" w:rsidRPr="00CD7A68" w:rsidTr="00467524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D36C62" w:rsidRDefault="006A6B18" w:rsidP="00D36C62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Транспортировка и хранение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120 562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D36C62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112 891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nil"/>
            </w:tcBorders>
            <w:shd w:val="clear" w:color="auto" w:fill="F2DBDB" w:themeFill="accent2" w:themeFillTint="33"/>
            <w:vAlign w:val="bottom"/>
          </w:tcPr>
          <w:p w:rsidR="00D36C62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90,8</w:t>
            </w:r>
          </w:p>
        </w:tc>
      </w:tr>
      <w:tr w:rsidR="00D36C62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Pr="003E5F06" w:rsidRDefault="006A6B18" w:rsidP="006A6B18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гостин</w:t>
            </w:r>
            <w:r>
              <w:rPr>
                <w:b w:val="0"/>
                <w:color w:val="632423" w:themeColor="accent2" w:themeShade="80"/>
              </w:rPr>
              <w:t>и</w:t>
            </w:r>
            <w:r w:rsidRPr="006A6B18">
              <w:rPr>
                <w:b w:val="0"/>
                <w:color w:val="632423" w:themeColor="accent2" w:themeShade="80"/>
              </w:rPr>
              <w:t>ц и предприятий общественного питания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17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751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A340BD" w:rsidRDefault="00A340BD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340BD">
              <w:rPr>
                <w:bCs/>
                <w:color w:val="632423" w:themeColor="accent2" w:themeShade="80"/>
              </w:rPr>
              <w:t>41,7 р.</w:t>
            </w:r>
          </w:p>
        </w:tc>
      </w:tr>
      <w:tr w:rsidR="00D36C62" w:rsidRPr="00CD7A68" w:rsidTr="00F523EA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Pr="003E5F06" w:rsidRDefault="006A6B18" w:rsidP="00D36C62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в области информации и связи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2 503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2 442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nil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94,3</w:t>
            </w:r>
          </w:p>
        </w:tc>
      </w:tr>
      <w:tr w:rsidR="00D36C62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Pr="003E5F06" w:rsidRDefault="006A6B18" w:rsidP="00D36C62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lastRenderedPageBreak/>
              <w:t>Деятельность финансовая и страховая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1 189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811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66,4</w:t>
            </w:r>
          </w:p>
        </w:tc>
      </w:tr>
      <w:tr w:rsidR="006A6B18" w:rsidRPr="00CD7A68" w:rsidTr="00F523EA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6A6B18" w:rsidRDefault="006A6B18" w:rsidP="00D36C62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по операциям с недвижимым имуществом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A6B18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6 273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A6B18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6 918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nil"/>
            </w:tcBorders>
            <w:shd w:val="clear" w:color="auto" w:fill="auto"/>
            <w:vAlign w:val="bottom"/>
          </w:tcPr>
          <w:p w:rsidR="006A6B18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107,1</w:t>
            </w:r>
          </w:p>
        </w:tc>
      </w:tr>
      <w:tr w:rsidR="00D36C62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Default="006A6B18" w:rsidP="00D36C62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профессиональная, научная и техническая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5 250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9 232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6A6B18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170,1</w:t>
            </w:r>
          </w:p>
        </w:tc>
      </w:tr>
      <w:tr w:rsidR="006A6B18" w:rsidRPr="00CD7A68" w:rsidTr="00F523EA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6A6B18" w:rsidRDefault="006A6B18" w:rsidP="00D36C62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A6B18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232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A6B18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46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A6B18" w:rsidRPr="00D36C62" w:rsidRDefault="006A6B18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19,0</w:t>
            </w:r>
          </w:p>
        </w:tc>
      </w:tr>
      <w:tr w:rsidR="006A6B18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6A6B18" w:rsidRDefault="006A6B18" w:rsidP="00D36C62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A6B18" w:rsidRPr="00D36C62" w:rsidRDefault="00EB4645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6 077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6A6B18" w:rsidRPr="00D36C62" w:rsidRDefault="00EB4645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3 524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6A6B18" w:rsidRPr="00D36C62" w:rsidRDefault="00EB4645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56,7</w:t>
            </w:r>
          </w:p>
        </w:tc>
      </w:tr>
      <w:tr w:rsidR="00D36C62" w:rsidRPr="00CD7A68" w:rsidTr="00F523EA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Default="00D36C62" w:rsidP="00D36C62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Образование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EB4645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3 292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EB4645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3 768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EB4645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109,6</w:t>
            </w:r>
          </w:p>
        </w:tc>
      </w:tr>
      <w:tr w:rsidR="00D36C62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Default="00EB4645" w:rsidP="00D36C62">
            <w:pPr>
              <w:rPr>
                <w:b w:val="0"/>
                <w:color w:val="632423" w:themeColor="accent2" w:themeShade="80"/>
              </w:rPr>
            </w:pPr>
            <w:r w:rsidRPr="00EB4645">
              <w:rPr>
                <w:b w:val="0"/>
                <w:color w:val="632423" w:themeColor="accent2" w:themeShade="80"/>
              </w:rPr>
              <w:t>Деятельность в области здравоохранения и социальных услуг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EB4645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4 112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EB4645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1 780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EB4645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39,8</w:t>
            </w:r>
          </w:p>
        </w:tc>
      </w:tr>
      <w:tr w:rsidR="00EB4645" w:rsidRPr="00CD7A68" w:rsidTr="00F523EA"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B4645" w:rsidRDefault="00EB4645" w:rsidP="00D36C62">
            <w:pPr>
              <w:rPr>
                <w:b w:val="0"/>
                <w:color w:val="632423" w:themeColor="accent2" w:themeShade="80"/>
              </w:rPr>
            </w:pPr>
            <w:r w:rsidRPr="00EB4645">
              <w:rPr>
                <w:b w:val="0"/>
                <w:color w:val="632423" w:themeColor="accent2" w:themeShade="8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B4645" w:rsidRPr="00D36C62" w:rsidRDefault="00EB4645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942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B4645" w:rsidRPr="00D36C62" w:rsidRDefault="00EB4645" w:rsidP="00D36C6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 xml:space="preserve"> 1 267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B4645" w:rsidRPr="00F523EA" w:rsidRDefault="00EB4645" w:rsidP="00EB464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129,9</w:t>
            </w:r>
          </w:p>
        </w:tc>
      </w:tr>
      <w:tr w:rsidR="00D36C62" w:rsidRPr="00CD7A68" w:rsidTr="00F523EA">
        <w:trPr>
          <w:cnfStyle w:val="000000100000"/>
        </w:trPr>
        <w:tc>
          <w:tcPr>
            <w:cnfStyle w:val="001000000000"/>
            <w:tcW w:w="6076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D36C62" w:rsidRPr="003E5F06" w:rsidRDefault="00EB4645" w:rsidP="00D36C62">
            <w:pPr>
              <w:rPr>
                <w:b w:val="0"/>
                <w:color w:val="632423" w:themeColor="accent2" w:themeShade="80"/>
              </w:rPr>
            </w:pPr>
            <w:r w:rsidRPr="00EB4645">
              <w:rPr>
                <w:b w:val="0"/>
                <w:color w:val="632423" w:themeColor="accent2" w:themeShade="80"/>
              </w:rPr>
              <w:t>Предоставление прочих видов услуг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EB4645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14</w:t>
            </w:r>
          </w:p>
        </w:tc>
        <w:tc>
          <w:tcPr>
            <w:tcW w:w="109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D36C62" w:rsidRDefault="00EB4645" w:rsidP="00D36C6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14</w:t>
            </w:r>
          </w:p>
        </w:tc>
        <w:tc>
          <w:tcPr>
            <w:tcW w:w="163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D36C62" w:rsidRPr="00F523EA" w:rsidRDefault="00EB4645" w:rsidP="00EB464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91,3</w:t>
            </w:r>
          </w:p>
        </w:tc>
      </w:tr>
      <w:tr w:rsidR="00F523EA" w:rsidRPr="00CD7A68" w:rsidTr="00942D1E">
        <w:tc>
          <w:tcPr>
            <w:cnfStyle w:val="001000000000"/>
            <w:tcW w:w="9889" w:type="dxa"/>
            <w:gridSpan w:val="4"/>
            <w:tcBorders>
              <w:top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</w:tcPr>
          <w:p w:rsidR="006A6B18" w:rsidRPr="006A6B18" w:rsidRDefault="00F523EA" w:rsidP="00A340BD">
            <w:pPr>
              <w:rPr>
                <w:b w:val="0"/>
                <w:bCs w:val="0"/>
                <w:color w:val="632423" w:themeColor="accent2" w:themeShade="80"/>
              </w:rPr>
            </w:pPr>
            <w:r w:rsidRPr="00F523EA">
              <w:rPr>
                <w:b w:val="0"/>
                <w:color w:val="632423" w:themeColor="accent2" w:themeShade="80"/>
                <w:sz w:val="18"/>
                <w:szCs w:val="18"/>
                <w:vertAlign w:val="superscript"/>
              </w:rPr>
              <w:t>1)</w:t>
            </w:r>
            <w:r w:rsidRPr="00F523EA">
              <w:rPr>
                <w:b w:val="0"/>
                <w:color w:val="632423" w:themeColor="accent2" w:themeShade="80"/>
                <w:sz w:val="18"/>
                <w:szCs w:val="18"/>
              </w:rPr>
              <w:t xml:space="preserve"> В сопоставимых ценах</w:t>
            </w:r>
          </w:p>
        </w:tc>
      </w:tr>
    </w:tbl>
    <w:p w:rsidR="007F1DDB" w:rsidRDefault="007F1DDB" w:rsidP="00573CDF">
      <w:pPr>
        <w:pStyle w:val="aa"/>
        <w:spacing w:after="120"/>
        <w:ind w:left="0" w:firstLine="709"/>
        <w:jc w:val="both"/>
      </w:pPr>
    </w:p>
    <w:p w:rsidR="00CE49F2" w:rsidRPr="00641BE9" w:rsidRDefault="008D096C" w:rsidP="00CE193F">
      <w:pPr>
        <w:pStyle w:val="aa"/>
        <w:spacing w:after="120"/>
        <w:ind w:left="0" w:firstLine="709"/>
        <w:jc w:val="both"/>
      </w:pPr>
      <w:r w:rsidRPr="008D096C">
        <w:t xml:space="preserve">За </w:t>
      </w:r>
      <w:r>
        <w:t>2013-2018 гг.</w:t>
      </w:r>
      <w:r w:rsidRPr="008D096C">
        <w:t xml:space="preserve"> период в республике </w:t>
      </w:r>
      <w:r w:rsidR="00DF613F">
        <w:t>осуществлялось</w:t>
      </w:r>
      <w:r>
        <w:t xml:space="preserve"> несколько крупномасштабных </w:t>
      </w:r>
      <w:r w:rsidRPr="008F730E">
        <w:t>инвестиционных проектов</w:t>
      </w:r>
      <w:r>
        <w:t xml:space="preserve"> федерального уровня</w:t>
      </w:r>
      <w:r w:rsidR="00DF613F">
        <w:t xml:space="preserve">: строительство трубопроводной системы «Восточная Сибирь – Тихий Океан», магистрального газопровода «Сила Сибири», федеральных трасс «Лена», «Вилюй» и «Колыма» и объектов энергетической инфраструктуры. Реализация этих проектов происходила </w:t>
      </w:r>
      <w:r>
        <w:t xml:space="preserve">при участии </w:t>
      </w:r>
      <w:r w:rsidR="00DF613F">
        <w:t xml:space="preserve">и за счет средств </w:t>
      </w:r>
      <w:r>
        <w:t>организаций, зарегистрированных за пределами Республики Саха (Якутия)</w:t>
      </w:r>
      <w:r w:rsidR="00DF613F">
        <w:t xml:space="preserve">. </w:t>
      </w:r>
      <w:r w:rsidR="00CE193F" w:rsidRPr="00641BE9">
        <w:t xml:space="preserve">В целом </w:t>
      </w:r>
      <w:r w:rsidR="00CE193F" w:rsidRPr="008F730E">
        <w:rPr>
          <w:b/>
        </w:rPr>
        <w:t>территориально обособленными подразделениями организаций, зарегистрированных на территории других субъектов РФ</w:t>
      </w:r>
      <w:r w:rsidR="009515CC" w:rsidRPr="00641BE9">
        <w:t>,</w:t>
      </w:r>
      <w:r w:rsidR="00CE193F" w:rsidRPr="00641BE9">
        <w:t xml:space="preserve"> за рассматриваемый период </w:t>
      </w:r>
      <w:r w:rsidR="00B20EF0" w:rsidRPr="00641BE9">
        <w:t xml:space="preserve">было </w:t>
      </w:r>
      <w:r w:rsidR="00CE193F" w:rsidRPr="00641BE9">
        <w:t>осуществлено 758 млрд.  рублей инвестиций в основной капитал.</w:t>
      </w:r>
      <w:r w:rsidR="0088705A" w:rsidRPr="00641BE9">
        <w:t xml:space="preserve"> </w:t>
      </w:r>
    </w:p>
    <w:p w:rsidR="00BE7011" w:rsidRDefault="00641BE9" w:rsidP="00BE7011">
      <w:pPr>
        <w:keepNext/>
        <w:spacing w:after="0"/>
        <w:jc w:val="center"/>
      </w:pPr>
      <w:r w:rsidRPr="00641BE9">
        <w:rPr>
          <w:noProof/>
        </w:rPr>
        <w:drawing>
          <wp:inline distT="0" distB="0" distL="0" distR="0">
            <wp:extent cx="5387009" cy="2037521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705A" w:rsidRDefault="00BE7011" w:rsidP="00BE7011">
      <w:pPr>
        <w:pStyle w:val="ad"/>
        <w:jc w:val="center"/>
        <w:rPr>
          <w:color w:val="632423" w:themeColor="accent2" w:themeShade="80"/>
        </w:rPr>
      </w:pPr>
      <w:r w:rsidRPr="00BE7011">
        <w:rPr>
          <w:color w:val="632423" w:themeColor="accent2" w:themeShade="80"/>
        </w:rPr>
        <w:t xml:space="preserve">Инвестиции в основной капитал ТОП </w:t>
      </w:r>
      <w:r w:rsidR="00641BE9">
        <w:rPr>
          <w:color w:val="632423" w:themeColor="accent2" w:themeShade="80"/>
        </w:rPr>
        <w:t>инорегиональных организаций</w:t>
      </w:r>
      <w:r w:rsidR="005E6CDC">
        <w:rPr>
          <w:color w:val="632423" w:themeColor="accent2" w:themeShade="80"/>
        </w:rPr>
        <w:t xml:space="preserve">                                                                                                                   </w:t>
      </w:r>
      <w:r w:rsidRPr="00BE7011">
        <w:rPr>
          <w:color w:val="632423" w:themeColor="accent2" w:themeShade="80"/>
        </w:rPr>
        <w:t>и республиканских организаций, мл</w:t>
      </w:r>
      <w:r w:rsidR="00641BE9">
        <w:rPr>
          <w:color w:val="632423" w:themeColor="accent2" w:themeShade="80"/>
        </w:rPr>
        <w:t>рд</w:t>
      </w:r>
      <w:r w:rsidRPr="00BE7011">
        <w:rPr>
          <w:color w:val="632423" w:themeColor="accent2" w:themeShade="80"/>
        </w:rPr>
        <w:t>. рублей</w:t>
      </w:r>
    </w:p>
    <w:p w:rsidR="008F730E" w:rsidRDefault="008F730E" w:rsidP="00B20EF0">
      <w:pPr>
        <w:spacing w:after="0"/>
        <w:ind w:firstLine="709"/>
        <w:jc w:val="center"/>
        <w:rPr>
          <w:b/>
          <w:color w:val="632423" w:themeColor="accent2" w:themeShade="80"/>
        </w:rPr>
      </w:pPr>
    </w:p>
    <w:p w:rsidR="00B20EF0" w:rsidRPr="003E5F06" w:rsidRDefault="00135C7D" w:rsidP="00B20EF0">
      <w:pPr>
        <w:spacing w:after="0"/>
        <w:ind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Индексы физического объема</w:t>
      </w:r>
      <w:r w:rsidR="00B20EF0">
        <w:rPr>
          <w:b/>
          <w:color w:val="632423" w:themeColor="accent2" w:themeShade="80"/>
        </w:rPr>
        <w:t xml:space="preserve"> инвестиций в основной капитал </w:t>
      </w:r>
    </w:p>
    <w:p w:rsidR="00B20EF0" w:rsidRPr="003E5F06" w:rsidRDefault="00B20EF0" w:rsidP="00B20EF0">
      <w:pPr>
        <w:spacing w:after="120"/>
        <w:ind w:firstLine="709"/>
        <w:jc w:val="center"/>
        <w:rPr>
          <w:color w:val="632423" w:themeColor="accent2" w:themeShade="80"/>
          <w:sz w:val="20"/>
        </w:rPr>
      </w:pPr>
      <w:r w:rsidRPr="003E5F06">
        <w:rPr>
          <w:color w:val="632423" w:themeColor="accent2" w:themeShade="80"/>
          <w:sz w:val="20"/>
        </w:rPr>
        <w:t>(</w:t>
      </w:r>
      <w:r>
        <w:rPr>
          <w:color w:val="632423" w:themeColor="accent2" w:themeShade="80"/>
          <w:sz w:val="20"/>
        </w:rPr>
        <w:t xml:space="preserve">в % к предыдущему году, в </w:t>
      </w:r>
      <w:r w:rsidR="00135C7D">
        <w:rPr>
          <w:color w:val="632423" w:themeColor="accent2" w:themeShade="80"/>
          <w:sz w:val="20"/>
        </w:rPr>
        <w:t>сопоставимых</w:t>
      </w:r>
      <w:r>
        <w:rPr>
          <w:color w:val="632423" w:themeColor="accent2" w:themeShade="80"/>
          <w:sz w:val="20"/>
        </w:rPr>
        <w:t xml:space="preserve"> ценах</w:t>
      </w:r>
      <w:r w:rsidRPr="003E5F06">
        <w:rPr>
          <w:color w:val="632423" w:themeColor="accent2" w:themeShade="80"/>
          <w:sz w:val="20"/>
        </w:rPr>
        <w:t>)</w:t>
      </w:r>
    </w:p>
    <w:tbl>
      <w:tblPr>
        <w:tblStyle w:val="-11"/>
        <w:tblW w:w="0" w:type="auto"/>
        <w:tblLook w:val="04A0"/>
      </w:tblPr>
      <w:tblGrid>
        <w:gridCol w:w="2943"/>
        <w:gridCol w:w="1202"/>
        <w:gridCol w:w="1134"/>
        <w:gridCol w:w="1134"/>
        <w:gridCol w:w="1134"/>
        <w:gridCol w:w="1134"/>
        <w:gridCol w:w="1173"/>
      </w:tblGrid>
      <w:tr w:rsidR="00B20EF0" w:rsidRPr="003E5F06" w:rsidTr="00B20EF0">
        <w:trPr>
          <w:cnfStyle w:val="1000000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B20EF0" w:rsidRPr="003E5F06" w:rsidRDefault="00B20EF0" w:rsidP="00B20EF0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120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B20EF0" w:rsidRPr="003E5F06" w:rsidRDefault="00B20EF0" w:rsidP="00B20EF0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B20EF0" w:rsidRPr="003E5F06" w:rsidRDefault="00B20EF0" w:rsidP="00B20EF0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B20EF0" w:rsidRPr="003E5F06" w:rsidRDefault="00B20EF0" w:rsidP="00B20EF0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B20EF0" w:rsidRPr="003E5F06" w:rsidRDefault="00B20EF0" w:rsidP="00B20EF0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B20EF0" w:rsidRPr="003E5F06" w:rsidRDefault="00B20EF0" w:rsidP="00B20EF0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2017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B20EF0" w:rsidRPr="003E5F06" w:rsidRDefault="00B20EF0" w:rsidP="00B20EF0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2018</w:t>
            </w:r>
          </w:p>
        </w:tc>
      </w:tr>
      <w:tr w:rsidR="00135C7D" w:rsidRPr="00252D69" w:rsidTr="00B20EF0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135C7D" w:rsidRPr="003E5F06" w:rsidRDefault="00135C7D" w:rsidP="00B20EF0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Всего по Республике</w:t>
            </w:r>
          </w:p>
        </w:tc>
        <w:tc>
          <w:tcPr>
            <w:tcW w:w="120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35C7D" w:rsidRPr="00135C7D" w:rsidRDefault="00135C7D" w:rsidP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90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95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99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134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135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0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102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0</w:t>
            </w:r>
          </w:p>
        </w:tc>
      </w:tr>
      <w:tr w:rsidR="00135C7D" w:rsidRPr="00252D69" w:rsidTr="00B20EF0"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135C7D" w:rsidRDefault="00B4084E" w:rsidP="00B20EF0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Организации, зарегистрированные на территории других субъектов РФ</w:t>
            </w:r>
          </w:p>
        </w:tc>
        <w:tc>
          <w:tcPr>
            <w:tcW w:w="120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73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86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116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156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168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108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5</w:t>
            </w:r>
          </w:p>
        </w:tc>
      </w:tr>
      <w:tr w:rsidR="00135C7D" w:rsidRPr="003E5F06" w:rsidTr="00B20EF0">
        <w:trPr>
          <w:cnfStyle w:val="000000100000"/>
        </w:trPr>
        <w:tc>
          <w:tcPr>
            <w:cnfStyle w:val="001000000000"/>
            <w:tcW w:w="2943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135C7D" w:rsidRPr="00B20EF0" w:rsidRDefault="00135C7D" w:rsidP="00B20EF0">
            <w:pPr>
              <w:rPr>
                <w:b w:val="0"/>
                <w:color w:val="632423" w:themeColor="accent2" w:themeShade="80"/>
              </w:rPr>
            </w:pPr>
            <w:r w:rsidRPr="00B20EF0">
              <w:rPr>
                <w:b w:val="0"/>
                <w:color w:val="632423" w:themeColor="accent2" w:themeShade="80"/>
              </w:rPr>
              <w:t>Республиканские организации</w:t>
            </w:r>
          </w:p>
        </w:tc>
        <w:tc>
          <w:tcPr>
            <w:tcW w:w="1202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106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100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90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119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103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135C7D" w:rsidRPr="00135C7D" w:rsidRDefault="00135C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135C7D">
              <w:rPr>
                <w:bCs/>
                <w:color w:val="632423" w:themeColor="accent2" w:themeShade="80"/>
              </w:rPr>
              <w:t>92</w:t>
            </w:r>
            <w:r>
              <w:rPr>
                <w:bCs/>
                <w:color w:val="632423" w:themeColor="accent2" w:themeShade="80"/>
              </w:rPr>
              <w:t>,</w:t>
            </w:r>
            <w:r w:rsidRPr="00135C7D">
              <w:rPr>
                <w:bCs/>
                <w:color w:val="632423" w:themeColor="accent2" w:themeShade="80"/>
              </w:rPr>
              <w:t>2</w:t>
            </w:r>
          </w:p>
        </w:tc>
      </w:tr>
    </w:tbl>
    <w:p w:rsidR="003E093A" w:rsidRDefault="003E093A" w:rsidP="00D26BEB">
      <w:pPr>
        <w:spacing w:before="120" w:after="120"/>
        <w:ind w:firstLine="709"/>
        <w:jc w:val="both"/>
      </w:pPr>
      <w:r>
        <w:lastRenderedPageBreak/>
        <w:t xml:space="preserve">Инорегиональные организации </w:t>
      </w:r>
      <w:r w:rsidR="00641BE9">
        <w:t>значительно</w:t>
      </w:r>
      <w:r w:rsidR="001F0AF8">
        <w:t xml:space="preserve"> влия</w:t>
      </w:r>
      <w:r w:rsidR="00641BE9">
        <w:t>ют</w:t>
      </w:r>
      <w:r w:rsidR="001F0AF8">
        <w:t xml:space="preserve"> на динамику инвестиций в основной капитал. </w:t>
      </w:r>
      <w:r w:rsidR="00641BE9">
        <w:t>Например</w:t>
      </w:r>
      <w:r w:rsidR="00D26BEB">
        <w:t xml:space="preserve">, </w:t>
      </w:r>
      <w:r w:rsidR="00641BE9">
        <w:t>в 2018 г.</w:t>
      </w:r>
      <w:r>
        <w:t xml:space="preserve"> индекс физического объема инвестиций организаций республики опустился ниже 100 процентов, но за счет роста инвестиций инорегиональных организаций, индекс в целом по республике составил 102,0%.</w:t>
      </w:r>
    </w:p>
    <w:p w:rsidR="00AB28E6" w:rsidRPr="00B5771A" w:rsidRDefault="00AB28E6" w:rsidP="00B4084E">
      <w:pPr>
        <w:spacing w:before="120" w:after="120"/>
        <w:ind w:firstLine="709"/>
        <w:jc w:val="both"/>
      </w:pPr>
      <w:r w:rsidRPr="00B5771A">
        <w:t xml:space="preserve">В 2017-2018 гг. основные вложения приходились на </w:t>
      </w:r>
      <w:r w:rsidRPr="006F1F4B">
        <w:rPr>
          <w:b/>
        </w:rPr>
        <w:t>транспортировку и хранение</w:t>
      </w:r>
      <w:r w:rsidRPr="00B5771A">
        <w:t xml:space="preserve"> и </w:t>
      </w:r>
      <w:r w:rsidRPr="006F1F4B">
        <w:rPr>
          <w:b/>
        </w:rPr>
        <w:t>добычу полезных ископаемых</w:t>
      </w:r>
      <w:r w:rsidRPr="00B5771A">
        <w:t>. На эти виды деятельности приходилось более 89% всех инвестиций, осуществленных территориально обособленными подразделениями.</w:t>
      </w:r>
      <w:r w:rsidR="00B5771A" w:rsidRPr="00B5771A">
        <w:t xml:space="preserve"> Также крупные вложения осуществлялись в виды деятельности «Строительство» и «Обеспечение электрической энергией, газом и паром; кондиционирование воздуха».</w:t>
      </w:r>
      <w:r w:rsidR="00B5771A">
        <w:t xml:space="preserve"> Наибольшая доля вложений ТОП инорегиональных организаций была отмечена по виду деятельности «Транспортировка и хранение»</w:t>
      </w:r>
      <w:r w:rsidR="0085354F">
        <w:t xml:space="preserve"> (более 90%).</w:t>
      </w:r>
    </w:p>
    <w:p w:rsidR="00CD083E" w:rsidRPr="003E5F06" w:rsidRDefault="00CD083E" w:rsidP="00CD083E">
      <w:pPr>
        <w:spacing w:after="0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Инвестиции в основной капитал инорегиональных ТОП                                                                                           по видам экономической деятельности за 2017-2018 гг.</w:t>
      </w:r>
    </w:p>
    <w:p w:rsidR="002101B5" w:rsidRPr="003E5F06" w:rsidRDefault="00CD083E" w:rsidP="00CD083E">
      <w:pPr>
        <w:spacing w:after="120"/>
        <w:ind w:firstLine="709"/>
        <w:jc w:val="center"/>
        <w:rPr>
          <w:color w:val="632423" w:themeColor="accent2" w:themeShade="80"/>
          <w:sz w:val="20"/>
        </w:rPr>
      </w:pPr>
      <w:r w:rsidRPr="003E5F06">
        <w:rPr>
          <w:color w:val="632423" w:themeColor="accent2" w:themeShade="80"/>
          <w:sz w:val="20"/>
        </w:rPr>
        <w:t xml:space="preserve"> </w:t>
      </w:r>
      <w:r w:rsidR="002101B5" w:rsidRPr="003E5F06">
        <w:rPr>
          <w:color w:val="632423" w:themeColor="accent2" w:themeShade="80"/>
          <w:sz w:val="20"/>
        </w:rPr>
        <w:t>(</w:t>
      </w:r>
      <w:r w:rsidR="002101B5">
        <w:rPr>
          <w:color w:val="632423" w:themeColor="accent2" w:themeShade="80"/>
          <w:sz w:val="20"/>
        </w:rPr>
        <w:t>млн. рублей</w:t>
      </w:r>
      <w:r w:rsidR="002101B5" w:rsidRPr="003E5F06">
        <w:rPr>
          <w:color w:val="632423" w:themeColor="accent2" w:themeShade="80"/>
          <w:sz w:val="20"/>
        </w:rPr>
        <w:t>)</w:t>
      </w:r>
    </w:p>
    <w:tbl>
      <w:tblPr>
        <w:tblStyle w:val="-11"/>
        <w:tblW w:w="9889" w:type="dxa"/>
        <w:tblLook w:val="04A0"/>
      </w:tblPr>
      <w:tblGrid>
        <w:gridCol w:w="7621"/>
        <w:gridCol w:w="1134"/>
        <w:gridCol w:w="1134"/>
      </w:tblGrid>
      <w:tr w:rsidR="002101B5" w:rsidRPr="00E8583B" w:rsidTr="00B4084E">
        <w:trPr>
          <w:cnfStyle w:val="100000000000"/>
          <w:tblHeader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2101B5" w:rsidRPr="003E5F06" w:rsidRDefault="002101B5" w:rsidP="002101B5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2101B5" w:rsidRPr="003E5F06" w:rsidRDefault="002101B5" w:rsidP="002101B5">
            <w:pPr>
              <w:jc w:val="center"/>
              <w:cnfStyle w:val="10000000000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2101B5" w:rsidRPr="003E5F06" w:rsidRDefault="002101B5" w:rsidP="002101B5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</w:t>
            </w:r>
            <w:r>
              <w:rPr>
                <w:color w:val="632423" w:themeColor="accent2" w:themeShade="80"/>
              </w:rPr>
              <w:t>18</w:t>
            </w:r>
          </w:p>
        </w:tc>
      </w:tr>
      <w:tr w:rsidR="002101B5" w:rsidRPr="00CD7A68" w:rsidTr="002101B5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2101B5" w:rsidRPr="003E5F06" w:rsidRDefault="002101B5" w:rsidP="002101B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2101B5" w:rsidRPr="00415515" w:rsidRDefault="002101B5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211 169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2101B5" w:rsidRPr="00415515" w:rsidRDefault="00EE22BC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234 500</w:t>
            </w:r>
          </w:p>
        </w:tc>
      </w:tr>
      <w:tr w:rsidR="00B5771A" w:rsidRPr="00CD7A68" w:rsidTr="00B5771A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B5771A" w:rsidRDefault="00B5771A" w:rsidP="00B5771A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 xml:space="preserve">инвестиций </w:t>
            </w:r>
            <w:r w:rsidRPr="00D4172F">
              <w:rPr>
                <w:b w:val="0"/>
                <w:i/>
                <w:color w:val="632423" w:themeColor="accent2" w:themeShade="80"/>
              </w:rPr>
              <w:t>по РС(Я)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101B5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60,2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101B5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64,0</w:t>
            </w:r>
          </w:p>
        </w:tc>
      </w:tr>
      <w:tr w:rsidR="002101B5" w:rsidRPr="00CD7A68" w:rsidTr="002101B5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Pr="003E5F06" w:rsidRDefault="002101B5" w:rsidP="002101B5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3E5F06" w:rsidRDefault="002101B5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3E5F06" w:rsidRDefault="002101B5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</w:tr>
      <w:tr w:rsidR="002101B5" w:rsidRPr="00CD7A68" w:rsidTr="002101B5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F523EA">
              <w:rPr>
                <w:b w:val="0"/>
                <w:color w:val="632423" w:themeColor="accent2" w:themeShade="80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1756D5" w:rsidRDefault="002101B5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1756D5" w:rsidRDefault="00EE22BC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</w:t>
            </w:r>
          </w:p>
        </w:tc>
      </w:tr>
      <w:tr w:rsidR="002101B5" w:rsidRPr="00CD7A68" w:rsidTr="00B5771A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2101B5" w:rsidRPr="00273E7D" w:rsidRDefault="00273E7D" w:rsidP="002101B5">
            <w:pPr>
              <w:jc w:val="right"/>
              <w:cnfStyle w:val="000000100000"/>
              <w:rPr>
                <w:bCs/>
                <w:color w:val="632423" w:themeColor="accent2" w:themeShade="80"/>
                <w:lang w:val="en-US"/>
              </w:rPr>
            </w:pPr>
            <w:r>
              <w:rPr>
                <w:bCs/>
                <w:color w:val="632423" w:themeColor="accent2" w:themeShade="80"/>
                <w:lang w:val="en-US"/>
              </w:rPr>
              <w:t>74 310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2101B5" w:rsidRPr="001756D5" w:rsidRDefault="00273E7D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105 502</w:t>
            </w:r>
          </w:p>
        </w:tc>
      </w:tr>
      <w:tr w:rsidR="00B5771A" w:rsidRPr="00CD7A68" w:rsidTr="00B5771A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B5771A" w:rsidRDefault="00B5771A" w:rsidP="00B5771A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 xml:space="preserve">инвестиций 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по </w:t>
            </w:r>
            <w:r>
              <w:rPr>
                <w:b w:val="0"/>
                <w:i/>
                <w:color w:val="632423" w:themeColor="accent2" w:themeShade="80"/>
              </w:rPr>
              <w:t>ВЭД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101B5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44,8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nil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101B5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58,5</w:t>
            </w:r>
          </w:p>
        </w:tc>
      </w:tr>
      <w:tr w:rsidR="002101B5" w:rsidRPr="00CD7A68" w:rsidTr="002101B5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Pr="00461460" w:rsidRDefault="002101B5" w:rsidP="002101B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273E7D" w:rsidRDefault="00273E7D" w:rsidP="002101B5">
            <w:pPr>
              <w:jc w:val="right"/>
              <w:cnfStyle w:val="000000100000"/>
              <w:rPr>
                <w:bCs/>
                <w:color w:val="632423" w:themeColor="accent2" w:themeShade="80"/>
                <w:lang w:val="en-US"/>
              </w:rPr>
            </w:pPr>
            <w:r>
              <w:rPr>
                <w:bCs/>
                <w:color w:val="632423" w:themeColor="accent2" w:themeShade="80"/>
                <w:lang w:val="en-US"/>
              </w:rPr>
              <w:t>1 183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1756D5" w:rsidRDefault="00273E7D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91</w:t>
            </w:r>
          </w:p>
        </w:tc>
      </w:tr>
      <w:tr w:rsidR="002101B5" w:rsidRPr="00CD7A68" w:rsidTr="00B5771A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F523EA">
              <w:rPr>
                <w:b w:val="0"/>
                <w:color w:val="632423" w:themeColor="accent2" w:themeShade="80"/>
              </w:rPr>
              <w:t>Обеспечение электрическо</w:t>
            </w:r>
            <w:r>
              <w:rPr>
                <w:b w:val="0"/>
                <w:color w:val="632423" w:themeColor="accent2" w:themeShade="80"/>
              </w:rPr>
              <w:t>й</w:t>
            </w:r>
            <w:r w:rsidRPr="00F523EA">
              <w:rPr>
                <w:b w:val="0"/>
                <w:color w:val="632423" w:themeColor="accent2" w:themeShade="80"/>
              </w:rPr>
              <w:t xml:space="preserve">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2101B5" w:rsidRPr="00273E7D" w:rsidRDefault="00273E7D" w:rsidP="002101B5">
            <w:pPr>
              <w:jc w:val="right"/>
              <w:cnfStyle w:val="000000000000"/>
              <w:rPr>
                <w:bCs/>
                <w:color w:val="632423" w:themeColor="accent2" w:themeShade="80"/>
                <w:lang w:val="en-US"/>
              </w:rPr>
            </w:pPr>
            <w:r>
              <w:rPr>
                <w:bCs/>
                <w:color w:val="632423" w:themeColor="accent2" w:themeShade="80"/>
                <w:lang w:val="en-US"/>
              </w:rPr>
              <w:t>6 769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nil"/>
            </w:tcBorders>
            <w:shd w:val="clear" w:color="auto" w:fill="F2DBDB" w:themeFill="accent2" w:themeFillTint="33"/>
            <w:vAlign w:val="bottom"/>
          </w:tcPr>
          <w:p w:rsidR="002101B5" w:rsidRPr="001756D5" w:rsidRDefault="00273E7D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7 264</w:t>
            </w:r>
          </w:p>
        </w:tc>
      </w:tr>
      <w:tr w:rsidR="00B5771A" w:rsidRPr="00CD7A68" w:rsidTr="00B5771A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B5771A" w:rsidRPr="00F523EA" w:rsidRDefault="00B5771A" w:rsidP="00B5771A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 xml:space="preserve">инвестиций 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по </w:t>
            </w:r>
            <w:r>
              <w:rPr>
                <w:b w:val="0"/>
                <w:i/>
                <w:color w:val="632423" w:themeColor="accent2" w:themeShade="80"/>
              </w:rPr>
              <w:t>ВЭД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101B5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49,8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101B5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48,3</w:t>
            </w:r>
          </w:p>
        </w:tc>
      </w:tr>
      <w:tr w:rsidR="00273E7D" w:rsidRPr="00CD7A68" w:rsidTr="002101B5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73E7D" w:rsidRPr="00273E7D" w:rsidRDefault="00273E7D" w:rsidP="002101B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Водоснабжение, водоотведение;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73E7D" w:rsidRDefault="00273E7D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73E7D" w:rsidRDefault="00273E7D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</w:t>
            </w:r>
          </w:p>
        </w:tc>
      </w:tr>
      <w:tr w:rsidR="002101B5" w:rsidRPr="00CD7A68" w:rsidTr="00B5771A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Строительство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2101B5" w:rsidRPr="00CD0611" w:rsidRDefault="00273E7D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9 219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2101B5" w:rsidRPr="00CD0611" w:rsidRDefault="00EE22BC" w:rsidP="00273E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 xml:space="preserve">9 </w:t>
            </w:r>
            <w:r w:rsidR="00273E7D">
              <w:rPr>
                <w:bCs/>
                <w:color w:val="632423" w:themeColor="accent2" w:themeShade="80"/>
              </w:rPr>
              <w:t>389</w:t>
            </w:r>
          </w:p>
        </w:tc>
      </w:tr>
      <w:tr w:rsidR="00B5771A" w:rsidRPr="00CD7A68" w:rsidTr="00B5771A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B5771A" w:rsidRDefault="00B5771A" w:rsidP="00B5771A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 xml:space="preserve">инвестиций 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по </w:t>
            </w:r>
            <w:r>
              <w:rPr>
                <w:b w:val="0"/>
                <w:i/>
                <w:color w:val="632423" w:themeColor="accent2" w:themeShade="80"/>
              </w:rPr>
              <w:t>ВЭД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101B5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56,9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73E7D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57,0</w:t>
            </w:r>
          </w:p>
        </w:tc>
      </w:tr>
      <w:tr w:rsidR="002101B5" w:rsidRPr="00CD7A68" w:rsidTr="002101B5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CD0611" w:rsidRDefault="00273E7D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67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CD0611" w:rsidRDefault="006C7DBC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63</w:t>
            </w:r>
          </w:p>
        </w:tc>
      </w:tr>
      <w:tr w:rsidR="002101B5" w:rsidRPr="00CD7A68" w:rsidTr="00B5771A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2101B5" w:rsidRPr="00D36C62" w:rsidRDefault="00273E7D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114 425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2101B5" w:rsidRPr="00D36C62" w:rsidRDefault="006C7DBC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104 631</w:t>
            </w:r>
          </w:p>
        </w:tc>
      </w:tr>
      <w:tr w:rsidR="00B5771A" w:rsidRPr="00CD7A68" w:rsidTr="00B5771A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B5771A" w:rsidRPr="006A6B18" w:rsidRDefault="00B5771A" w:rsidP="00B5771A">
            <w:pPr>
              <w:ind w:left="142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 xml:space="preserve">инвестиций 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по </w:t>
            </w:r>
            <w:r>
              <w:rPr>
                <w:b w:val="0"/>
                <w:i/>
                <w:color w:val="632423" w:themeColor="accent2" w:themeShade="80"/>
              </w:rPr>
              <w:t>ВЭД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101B5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94,9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B5771A" w:rsidRPr="00B5771A" w:rsidRDefault="00B5771A" w:rsidP="002101B5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92,7</w:t>
            </w:r>
          </w:p>
        </w:tc>
      </w:tr>
      <w:tr w:rsidR="002101B5" w:rsidRPr="00CD7A68" w:rsidTr="002101B5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Pr="003E5F06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гостин</w:t>
            </w:r>
            <w:r>
              <w:rPr>
                <w:b w:val="0"/>
                <w:color w:val="632423" w:themeColor="accent2" w:themeShade="80"/>
              </w:rPr>
              <w:t>и</w:t>
            </w:r>
            <w:r w:rsidRPr="006A6B18">
              <w:rPr>
                <w:b w:val="0"/>
                <w:color w:val="632423" w:themeColor="accent2" w:themeShade="80"/>
              </w:rPr>
              <w:t>ц и предприятий общественного питания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273E7D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14</w:t>
            </w:r>
            <w:r w:rsidR="00EE22BC">
              <w:rPr>
                <w:bCs/>
                <w:color w:val="632423" w:themeColor="accent2" w:themeShade="8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6C7DBC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539</w:t>
            </w:r>
          </w:p>
        </w:tc>
      </w:tr>
      <w:tr w:rsidR="002101B5" w:rsidRPr="00CD7A68" w:rsidTr="002101B5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Pr="003E5F06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EE22BC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2 336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EE22BC" w:rsidP="006C7DBC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2 1</w:t>
            </w:r>
            <w:r w:rsidR="006C7DBC">
              <w:rPr>
                <w:bCs/>
                <w:color w:val="632423" w:themeColor="accent2" w:themeShade="80"/>
              </w:rPr>
              <w:t>74</w:t>
            </w:r>
          </w:p>
        </w:tc>
      </w:tr>
      <w:tr w:rsidR="002101B5" w:rsidRPr="00CD7A68" w:rsidTr="002101B5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Pr="003E5F06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273E7D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106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6C7DBC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223</w:t>
            </w:r>
          </w:p>
        </w:tc>
      </w:tr>
      <w:tr w:rsidR="002101B5" w:rsidRPr="00CD7A68" w:rsidTr="002101B5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EE22BC" w:rsidP="00273E7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6C7DBC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</w:t>
            </w:r>
          </w:p>
        </w:tc>
      </w:tr>
      <w:tr w:rsidR="002101B5" w:rsidRPr="00CD7A68" w:rsidTr="002101B5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273E7D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7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D341F8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4 540</w:t>
            </w:r>
          </w:p>
        </w:tc>
      </w:tr>
      <w:tr w:rsidR="002101B5" w:rsidRPr="00CD7A68" w:rsidTr="002101B5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273E7D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AE4BAF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3</w:t>
            </w:r>
          </w:p>
        </w:tc>
      </w:tr>
      <w:tr w:rsidR="002101B5" w:rsidRPr="00CD7A68" w:rsidTr="002101B5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6A6B18">
              <w:rPr>
                <w:b w:val="0"/>
                <w:color w:val="632423" w:themeColor="accent2" w:themeShade="8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EE22BC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8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D341F8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8</w:t>
            </w:r>
          </w:p>
        </w:tc>
      </w:tr>
      <w:tr w:rsidR="002101B5" w:rsidRPr="00CD7A68" w:rsidTr="002101B5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EE22BC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AE4BAF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</w:t>
            </w:r>
          </w:p>
        </w:tc>
      </w:tr>
      <w:tr w:rsidR="002101B5" w:rsidRPr="00CD7A68" w:rsidTr="002101B5"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EB4645">
              <w:rPr>
                <w:b w:val="0"/>
                <w:color w:val="632423" w:themeColor="accent2" w:themeShade="8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273E7D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2 711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D341F8" w:rsidP="002101B5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45</w:t>
            </w:r>
          </w:p>
        </w:tc>
      </w:tr>
      <w:tr w:rsidR="002101B5" w:rsidRPr="00CD7A68" w:rsidTr="002101B5">
        <w:trPr>
          <w:cnfStyle w:val="000000100000"/>
        </w:trPr>
        <w:tc>
          <w:tcPr>
            <w:cnfStyle w:val="001000000000"/>
            <w:tcW w:w="762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2101B5" w:rsidRDefault="002101B5" w:rsidP="002101B5">
            <w:pPr>
              <w:rPr>
                <w:b w:val="0"/>
                <w:color w:val="632423" w:themeColor="accent2" w:themeShade="80"/>
              </w:rPr>
            </w:pPr>
            <w:r w:rsidRPr="00EB4645">
              <w:rPr>
                <w:b w:val="0"/>
                <w:color w:val="632423" w:themeColor="accent2" w:themeShade="8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AE4BAF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2101B5" w:rsidRPr="00D36C62" w:rsidRDefault="00D341F8" w:rsidP="002101B5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</w:t>
            </w:r>
          </w:p>
        </w:tc>
      </w:tr>
    </w:tbl>
    <w:p w:rsidR="00A83623" w:rsidRDefault="004413DD" w:rsidP="00A83623">
      <w:pPr>
        <w:spacing w:before="120" w:after="0"/>
        <w:ind w:firstLine="709"/>
        <w:jc w:val="both"/>
        <w:rPr>
          <w:color w:val="632423" w:themeColor="accent2" w:themeShade="80"/>
        </w:rPr>
      </w:pPr>
      <w:r>
        <w:t xml:space="preserve">Инорегиональные организации осуществляли инвестиции в основной капитал в 15 районах республики и городе республиканского значения Якутске. </w:t>
      </w:r>
      <w:r w:rsidR="00A83623">
        <w:t xml:space="preserve">Основная часть инвестиций была освоена на юге республики </w:t>
      </w:r>
      <w:r w:rsidR="00A83623" w:rsidRPr="004413DD">
        <w:t>по маршруту трубопроводной системы «В</w:t>
      </w:r>
      <w:r w:rsidR="00B4084E" w:rsidRPr="004413DD">
        <w:t xml:space="preserve">осточная </w:t>
      </w:r>
      <w:r w:rsidR="00A83623" w:rsidRPr="004413DD">
        <w:t>С</w:t>
      </w:r>
      <w:r w:rsidR="00B4084E" w:rsidRPr="004413DD">
        <w:t xml:space="preserve">ибирь – </w:t>
      </w:r>
      <w:r w:rsidR="00A83623" w:rsidRPr="004413DD">
        <w:t>Т</w:t>
      </w:r>
      <w:r w:rsidR="00B4084E" w:rsidRPr="004413DD">
        <w:t xml:space="preserve">ихий </w:t>
      </w:r>
      <w:r w:rsidR="00A83623" w:rsidRPr="004413DD">
        <w:t>О</w:t>
      </w:r>
      <w:r w:rsidR="00B4084E" w:rsidRPr="004413DD">
        <w:t>кеан</w:t>
      </w:r>
      <w:r w:rsidR="00A83623" w:rsidRPr="004413DD">
        <w:t xml:space="preserve">» и </w:t>
      </w:r>
      <w:r w:rsidR="00A83623" w:rsidRPr="004413DD">
        <w:lastRenderedPageBreak/>
        <w:t>газопровода «Сила Сибири»: в Ленском, Нерюнгринском, Олекминском и Алданском районах, а также в городе республиканского значения Якутск</w:t>
      </w:r>
      <w:r w:rsidR="00376EB5" w:rsidRPr="004413DD">
        <w:t>е</w:t>
      </w:r>
      <w:r w:rsidR="00A83623" w:rsidRPr="004413DD">
        <w:t>.</w:t>
      </w:r>
    </w:p>
    <w:p w:rsidR="006F1F4B" w:rsidRDefault="006F1F4B" w:rsidP="009454B2">
      <w:pPr>
        <w:spacing w:after="0"/>
        <w:ind w:firstLine="709"/>
        <w:jc w:val="center"/>
        <w:rPr>
          <w:b/>
          <w:color w:val="632423" w:themeColor="accent2" w:themeShade="80"/>
        </w:rPr>
      </w:pPr>
    </w:p>
    <w:p w:rsidR="009454B2" w:rsidRPr="003E5F06" w:rsidRDefault="009454B2" w:rsidP="009454B2">
      <w:pPr>
        <w:spacing w:after="0"/>
        <w:ind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Инвестиции в основной капитал </w:t>
      </w:r>
      <w:r w:rsidR="00376EB5">
        <w:rPr>
          <w:b/>
          <w:color w:val="632423" w:themeColor="accent2" w:themeShade="80"/>
        </w:rPr>
        <w:t xml:space="preserve">ТОП </w:t>
      </w:r>
      <w:r w:rsidR="006F1F4B">
        <w:rPr>
          <w:b/>
          <w:color w:val="632423" w:themeColor="accent2" w:themeShade="80"/>
        </w:rPr>
        <w:t xml:space="preserve">инорегиональных организаций </w:t>
      </w:r>
      <w:r>
        <w:rPr>
          <w:b/>
          <w:color w:val="632423" w:themeColor="accent2" w:themeShade="80"/>
        </w:rPr>
        <w:t xml:space="preserve">по районам </w:t>
      </w:r>
      <w:r w:rsidRPr="003E5F06">
        <w:rPr>
          <w:b/>
          <w:color w:val="632423" w:themeColor="accent2" w:themeShade="80"/>
        </w:rPr>
        <w:t xml:space="preserve"> </w:t>
      </w:r>
    </w:p>
    <w:p w:rsidR="009454B2" w:rsidRPr="003E5F06" w:rsidRDefault="009454B2" w:rsidP="004413DD">
      <w:pPr>
        <w:spacing w:after="120"/>
        <w:ind w:firstLine="709"/>
        <w:jc w:val="center"/>
        <w:rPr>
          <w:color w:val="632423" w:themeColor="accent2" w:themeShade="80"/>
          <w:sz w:val="20"/>
        </w:rPr>
      </w:pPr>
      <w:r w:rsidRPr="003E5F06">
        <w:rPr>
          <w:color w:val="632423" w:themeColor="accent2" w:themeShade="80"/>
          <w:sz w:val="20"/>
        </w:rPr>
        <w:t>(</w:t>
      </w:r>
      <w:r>
        <w:rPr>
          <w:color w:val="632423" w:themeColor="accent2" w:themeShade="80"/>
          <w:sz w:val="20"/>
        </w:rPr>
        <w:t>млн. рублей</w:t>
      </w:r>
      <w:r w:rsidRPr="003E5F06">
        <w:rPr>
          <w:color w:val="632423" w:themeColor="accent2" w:themeShade="80"/>
          <w:sz w:val="20"/>
        </w:rPr>
        <w:t>)</w:t>
      </w:r>
    </w:p>
    <w:tbl>
      <w:tblPr>
        <w:tblStyle w:val="-11"/>
        <w:tblW w:w="0" w:type="auto"/>
        <w:tblLayout w:type="fixed"/>
        <w:tblLook w:val="04A0"/>
      </w:tblPr>
      <w:tblGrid>
        <w:gridCol w:w="3085"/>
        <w:gridCol w:w="1134"/>
        <w:gridCol w:w="1134"/>
        <w:gridCol w:w="1134"/>
        <w:gridCol w:w="1134"/>
        <w:gridCol w:w="1134"/>
        <w:gridCol w:w="1099"/>
      </w:tblGrid>
      <w:tr w:rsidR="009454B2" w:rsidRPr="00E8583B" w:rsidTr="004413DD">
        <w:trPr>
          <w:cnfStyle w:val="100000000000"/>
          <w:tblHeader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454B2" w:rsidRPr="003E5F06" w:rsidRDefault="009454B2" w:rsidP="00BF0EB3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454B2" w:rsidRPr="003E5F06" w:rsidRDefault="009454B2" w:rsidP="00BF0EB3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454B2" w:rsidRPr="003E5F06" w:rsidRDefault="009454B2" w:rsidP="00BF0EB3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454B2" w:rsidRPr="003E5F06" w:rsidRDefault="009454B2" w:rsidP="00BF0EB3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454B2" w:rsidRPr="003E5F06" w:rsidRDefault="009454B2" w:rsidP="00BF0EB3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9454B2" w:rsidRPr="003E5F06" w:rsidRDefault="009454B2" w:rsidP="00BF0EB3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2017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9454B2" w:rsidRPr="003E5F06" w:rsidRDefault="009454B2" w:rsidP="00BF0EB3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3E5F06">
              <w:rPr>
                <w:color w:val="632423" w:themeColor="accent2" w:themeShade="80"/>
              </w:rPr>
              <w:t>2018</w:t>
            </w:r>
          </w:p>
        </w:tc>
      </w:tr>
      <w:tr w:rsidR="005472E4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5472E4" w:rsidRPr="003E5F06" w:rsidRDefault="005472E4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5472E4" w:rsidRPr="00415515" w:rsidRDefault="005472E4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63 541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5472E4" w:rsidRPr="00415515" w:rsidRDefault="005472E4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55 835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5472E4" w:rsidRPr="00415515" w:rsidRDefault="005472E4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71 625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5472E4" w:rsidRPr="00415515" w:rsidRDefault="005472E4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121 261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5472E4" w:rsidRPr="00415515" w:rsidRDefault="005472E4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211 169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5472E4" w:rsidRPr="00415515" w:rsidRDefault="005472E4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234 500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4413DD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 xml:space="preserve">инвестиций </w:t>
            </w:r>
            <w:r w:rsidRPr="00D4172F">
              <w:rPr>
                <w:b w:val="0"/>
                <w:i/>
                <w:color w:val="632423" w:themeColor="accent2" w:themeShade="80"/>
              </w:rPr>
              <w:t>по РС(Я)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D4172F" w:rsidRDefault="004413DD" w:rsidP="005C5460">
            <w:pPr>
              <w:jc w:val="right"/>
              <w:cnfStyle w:val="000000000000"/>
              <w:rPr>
                <w:rFonts w:ascii="Calibri" w:hAnsi="Calibri"/>
                <w:i/>
                <w:color w:val="632423" w:themeColor="accent2" w:themeShade="80"/>
              </w:rPr>
            </w:pPr>
            <w:r w:rsidRPr="00D4172F">
              <w:rPr>
                <w:rFonts w:ascii="Calibri" w:hAnsi="Calibri"/>
                <w:i/>
                <w:color w:val="632423" w:themeColor="accent2" w:themeShade="80"/>
              </w:rPr>
              <w:t>38</w:t>
            </w:r>
            <w:r>
              <w:rPr>
                <w:rFonts w:ascii="Calibri" w:hAnsi="Calibri"/>
                <w:i/>
                <w:color w:val="632423" w:themeColor="accent2" w:themeShade="80"/>
              </w:rPr>
              <w:t>,</w:t>
            </w:r>
            <w:r w:rsidRPr="00D4172F">
              <w:rPr>
                <w:rFonts w:ascii="Calibri" w:hAnsi="Calibri"/>
                <w:i/>
                <w:color w:val="632423" w:themeColor="accent2" w:themeShade="80"/>
              </w:rPr>
              <w:t>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D4172F" w:rsidRDefault="004413DD" w:rsidP="005C5460">
            <w:pPr>
              <w:jc w:val="right"/>
              <w:cnfStyle w:val="000000000000"/>
              <w:rPr>
                <w:rFonts w:ascii="Calibri" w:hAnsi="Calibri"/>
                <w:i/>
                <w:color w:val="632423" w:themeColor="accent2" w:themeShade="80"/>
              </w:rPr>
            </w:pPr>
            <w:r w:rsidRPr="00D4172F">
              <w:rPr>
                <w:rFonts w:ascii="Calibri" w:hAnsi="Calibri"/>
                <w:i/>
                <w:color w:val="632423" w:themeColor="accent2" w:themeShade="80"/>
              </w:rPr>
              <w:t>35</w:t>
            </w:r>
            <w:r>
              <w:rPr>
                <w:rFonts w:ascii="Calibri" w:hAnsi="Calibri"/>
                <w:i/>
                <w:color w:val="632423" w:themeColor="accent2" w:themeShade="80"/>
              </w:rPr>
              <w:t>,</w:t>
            </w:r>
            <w:r w:rsidRPr="00D4172F">
              <w:rPr>
                <w:rFonts w:ascii="Calibri" w:hAnsi="Calibri"/>
                <w:i/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D4172F" w:rsidRDefault="004413DD" w:rsidP="005C5460">
            <w:pPr>
              <w:jc w:val="right"/>
              <w:cnfStyle w:val="000000000000"/>
              <w:rPr>
                <w:rFonts w:ascii="Calibri" w:hAnsi="Calibri"/>
                <w:i/>
                <w:color w:val="632423" w:themeColor="accent2" w:themeShade="80"/>
              </w:rPr>
            </w:pPr>
            <w:r w:rsidRPr="00D4172F">
              <w:rPr>
                <w:rFonts w:ascii="Calibri" w:hAnsi="Calibri"/>
                <w:i/>
                <w:color w:val="632423" w:themeColor="accent2" w:themeShade="80"/>
              </w:rPr>
              <w:t>41</w:t>
            </w:r>
            <w:r>
              <w:rPr>
                <w:rFonts w:ascii="Calibri" w:hAnsi="Calibri"/>
                <w:i/>
                <w:color w:val="632423" w:themeColor="accent2" w:themeShade="80"/>
              </w:rPr>
              <w:t>,</w:t>
            </w:r>
            <w:r w:rsidRPr="00D4172F">
              <w:rPr>
                <w:rFonts w:ascii="Calibri" w:hAnsi="Calibri"/>
                <w:i/>
                <w:color w:val="632423" w:themeColor="accent2" w:themeShade="80"/>
              </w:rPr>
              <w:t>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D4172F" w:rsidRDefault="004413DD" w:rsidP="005C5460">
            <w:pPr>
              <w:jc w:val="right"/>
              <w:cnfStyle w:val="000000000000"/>
              <w:rPr>
                <w:rFonts w:ascii="Calibri" w:hAnsi="Calibri"/>
                <w:i/>
                <w:color w:val="632423" w:themeColor="accent2" w:themeShade="80"/>
              </w:rPr>
            </w:pPr>
            <w:r w:rsidRPr="00D4172F">
              <w:rPr>
                <w:rFonts w:ascii="Calibri" w:hAnsi="Calibri"/>
                <w:i/>
                <w:color w:val="632423" w:themeColor="accent2" w:themeShade="80"/>
              </w:rPr>
              <w:t>48</w:t>
            </w:r>
            <w:r>
              <w:rPr>
                <w:rFonts w:ascii="Calibri" w:hAnsi="Calibri"/>
                <w:i/>
                <w:color w:val="632423" w:themeColor="accent2" w:themeShade="80"/>
              </w:rPr>
              <w:t>,</w:t>
            </w:r>
            <w:r w:rsidRPr="00D4172F">
              <w:rPr>
                <w:rFonts w:ascii="Calibri" w:hAnsi="Calibri"/>
                <w:i/>
                <w:color w:val="632423" w:themeColor="accent2" w:themeShade="80"/>
              </w:rPr>
              <w:t>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B5771A" w:rsidRDefault="004413DD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60,2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B5771A" w:rsidRDefault="004413DD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B5771A">
              <w:rPr>
                <w:bCs/>
                <w:i/>
                <w:color w:val="632423" w:themeColor="accent2" w:themeShade="80"/>
              </w:rPr>
              <w:t>64,0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Pr="003E5F06" w:rsidRDefault="004413DD" w:rsidP="00BF0EB3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3E5F06" w:rsidRDefault="004413DD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3E5F06" w:rsidRDefault="004413DD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3E5F06" w:rsidRDefault="004413DD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3E5F06" w:rsidRDefault="004413DD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3E5F06" w:rsidRDefault="004413DD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3E5F06" w:rsidRDefault="004413DD" w:rsidP="00BF0EB3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Алданский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15515" w:rsidRDefault="004413DD" w:rsidP="00BF0EB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11 036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7 784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5 179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9 240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24 532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20 221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4413DD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>инвестиций по району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BF0EB3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915BC5">
              <w:rPr>
                <w:bCs/>
                <w:i/>
                <w:color w:val="632423" w:themeColor="accent2" w:themeShade="80"/>
              </w:rPr>
              <w:t>73,5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4A5ECA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75,0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4A5ECA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64,0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4A5ECA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58,4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4A5ECA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77,2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4A5ECA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75,6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Булунский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 xml:space="preserve">403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48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970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71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Pr="003E5F06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Вилюйский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Ленский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18 286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19 632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 xml:space="preserve">48 127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82 181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103 628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129 435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5C5460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>инвестиций по району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5C5460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915BC5">
              <w:rPr>
                <w:bCs/>
                <w:i/>
                <w:color w:val="632423" w:themeColor="accent2" w:themeShade="80"/>
              </w:rPr>
              <w:t>52,1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5C5460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64,5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5C5460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84,2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5C5460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75,2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5C5460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69,7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915BC5" w:rsidRDefault="00915BC5" w:rsidP="005C5460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85,0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Pr="003E5F06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Мегино-Кангаласский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Pr="00F83FA4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4A5ECA">
            <w:pPr>
              <w:jc w:val="right"/>
              <w:cnfStyle w:val="000000000000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Pr="00F83FA4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4A5ECA">
            <w:pPr>
              <w:jc w:val="right"/>
              <w:cnfStyle w:val="000000000000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Pr="00F83FA4" w:rsidRDefault="004413DD" w:rsidP="004A5ECA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E712A2" w:rsidRDefault="004413DD" w:rsidP="00BF0EB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0,3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Pr="003E5F06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Мирнинский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228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704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1 783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985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575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1 014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Намский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7F60C9" w:rsidRDefault="004413DD" w:rsidP="00BF0EB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7F60C9" w:rsidRDefault="004413DD" w:rsidP="00BF0EB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7F60C9" w:rsidRDefault="004413DD" w:rsidP="00BF0EB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7F60C9" w:rsidRDefault="004413DD" w:rsidP="00BF0EB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7F60C9" w:rsidRDefault="004413DD" w:rsidP="00BF0EB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7F60C9" w:rsidRDefault="004413DD" w:rsidP="00BF0EB3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Нерюнгринский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19 215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17 145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7 751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11 574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 xml:space="preserve">21 619 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31 854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5C5460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>инвестиций по району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34634E" w:rsidRDefault="0034634E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34634E">
              <w:rPr>
                <w:bCs/>
                <w:i/>
                <w:color w:val="632423" w:themeColor="accent2" w:themeShade="80"/>
              </w:rPr>
              <w:t>66,4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34634E" w:rsidRDefault="0034634E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43,1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34634E" w:rsidRDefault="0034634E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60,1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34634E" w:rsidRDefault="0034634E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63,1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34634E" w:rsidRDefault="0034634E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70,7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34634E" w:rsidRDefault="0034634E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76,0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Нижнеколымский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0,1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0,1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0,4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Оймяконский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55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56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65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117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146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4A5ECA" w:rsidRDefault="004413DD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4A5ECA">
              <w:rPr>
                <w:bCs/>
                <w:color w:val="632423" w:themeColor="accent2" w:themeShade="80"/>
              </w:rPr>
              <w:t>136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Олекминский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7 926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4 046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2 195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7 764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4A5ECA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48 033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40 070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5C5460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>инвестиций по району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473394">
              <w:rPr>
                <w:bCs/>
                <w:i/>
                <w:color w:val="632423" w:themeColor="accent2" w:themeShade="80"/>
              </w:rPr>
              <w:t>96,5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473394">
              <w:rPr>
                <w:bCs/>
                <w:i/>
                <w:color w:val="632423" w:themeColor="accent2" w:themeShade="80"/>
              </w:rPr>
              <w:t>86,4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473394">
              <w:rPr>
                <w:bCs/>
                <w:i/>
                <w:color w:val="632423" w:themeColor="accent2" w:themeShade="80"/>
              </w:rPr>
              <w:t>43,3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473394">
              <w:rPr>
                <w:bCs/>
                <w:i/>
                <w:color w:val="632423" w:themeColor="accent2" w:themeShade="80"/>
              </w:rPr>
              <w:t>79,9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473394">
              <w:rPr>
                <w:bCs/>
                <w:i/>
                <w:color w:val="632423" w:themeColor="accent2" w:themeShade="80"/>
              </w:rPr>
              <w:t>88,3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5C5460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473394">
              <w:rPr>
                <w:bCs/>
                <w:i/>
                <w:color w:val="632423" w:themeColor="accent2" w:themeShade="80"/>
              </w:rPr>
              <w:t>81,4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Сунтарский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600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1 177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947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962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567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1 830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Таттинский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2 048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1 580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85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2 119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373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220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Усть-Майский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Pr="00342935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CE7182">
            <w:pPr>
              <w:jc w:val="right"/>
              <w:cnfStyle w:val="000000100000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Хангаласский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Pr="00342935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4413DD" w:rsidRDefault="004413DD" w:rsidP="00CE7182">
            <w:pPr>
              <w:jc w:val="right"/>
              <w:cnfStyle w:val="000000000000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-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1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4413DD" w:rsidRPr="00CE7182" w:rsidRDefault="004413DD" w:rsidP="00CE7182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0,2</w:t>
            </w:r>
          </w:p>
        </w:tc>
      </w:tr>
      <w:tr w:rsidR="004413DD" w:rsidRPr="00CD7A68" w:rsidTr="004413DD">
        <w:trPr>
          <w:cnfStyle w:val="000000100000"/>
        </w:trPr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BF0EB3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Город республиканского значения Якутск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4 146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3 706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5 075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6 271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CE7182" w:rsidRDefault="004413DD" w:rsidP="00CE7182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E7182">
              <w:rPr>
                <w:bCs/>
                <w:color w:val="632423" w:themeColor="accent2" w:themeShade="80"/>
              </w:rPr>
              <w:t>10 724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376EB5" w:rsidRDefault="004413DD" w:rsidP="00870330">
            <w:pPr>
              <w:pStyle w:val="aa"/>
              <w:ind w:left="0"/>
              <w:jc w:val="right"/>
              <w:cnfStyle w:val="0000001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9 648</w:t>
            </w:r>
          </w:p>
        </w:tc>
      </w:tr>
      <w:tr w:rsidR="004413DD" w:rsidRPr="00CD7A68" w:rsidTr="004413DD">
        <w:tc>
          <w:tcPr>
            <w:cnfStyle w:val="001000000000"/>
            <w:tcW w:w="3085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4413DD" w:rsidRDefault="004413DD" w:rsidP="004413DD">
            <w:pPr>
              <w:ind w:left="284"/>
              <w:rPr>
                <w:b w:val="0"/>
                <w:color w:val="632423" w:themeColor="accent2" w:themeShade="80"/>
              </w:rPr>
            </w:pPr>
            <w:r>
              <w:rPr>
                <w:b w:val="0"/>
                <w:i/>
                <w:color w:val="632423" w:themeColor="accent2" w:themeShade="80"/>
              </w:rPr>
              <w:t>д</w:t>
            </w:r>
            <w:r w:rsidRPr="00D4172F">
              <w:rPr>
                <w:b w:val="0"/>
                <w:i/>
                <w:color w:val="632423" w:themeColor="accent2" w:themeShade="80"/>
              </w:rPr>
              <w:t xml:space="preserve">оля в общем объеме </w:t>
            </w:r>
            <w:r>
              <w:rPr>
                <w:b w:val="0"/>
                <w:i/>
                <w:color w:val="632423" w:themeColor="accent2" w:themeShade="80"/>
              </w:rPr>
              <w:t>инвестиций по городу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CE718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 w:rsidRPr="00473394">
              <w:rPr>
                <w:bCs/>
                <w:i/>
                <w:color w:val="632423" w:themeColor="accent2" w:themeShade="80"/>
              </w:rPr>
              <w:t>11,2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CE718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9,4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CE718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11,5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CE718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13,5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CE7182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26,4</w:t>
            </w:r>
          </w:p>
        </w:tc>
        <w:tc>
          <w:tcPr>
            <w:tcW w:w="1099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4413DD" w:rsidRPr="00473394" w:rsidRDefault="00473394" w:rsidP="00870330">
            <w:pPr>
              <w:pStyle w:val="aa"/>
              <w:ind w:left="0"/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19,4</w:t>
            </w:r>
          </w:p>
        </w:tc>
      </w:tr>
    </w:tbl>
    <w:p w:rsidR="000E28D9" w:rsidRPr="000E28D9" w:rsidRDefault="00AE352C" w:rsidP="000E28D9">
      <w:pPr>
        <w:spacing w:before="120" w:after="0"/>
        <w:ind w:firstLine="709"/>
        <w:jc w:val="both"/>
      </w:pPr>
      <w:r>
        <w:t>И</w:t>
      </w:r>
      <w:r w:rsidR="00CB0441" w:rsidRPr="000E28D9">
        <w:t>нвестиционная деятельность территориально обособленных подразделений организаций, зарегистрированных на территории других субъектов РФ, оказывает существенное влияние на объем и структуру инвестиций в основной капитал  в целом по республике.</w:t>
      </w:r>
      <w:r w:rsidR="000E28D9" w:rsidRPr="000E28D9">
        <w:t xml:space="preserve"> </w:t>
      </w:r>
      <w:r w:rsidR="00ED6976">
        <w:t>В период реализации крупных инвестиционных проектов доля вложений инорегиональных организаций в общем объеме инвестиций по республике составляет более 50% и имеет решающее значение для индекса физического объема инвестиций в основной капитал. Наиболее сильно влияние инорегиональных организаций сказывается на отраслях добычи и транспортировки полезных ископаемых, и промышленных районах.</w:t>
      </w:r>
    </w:p>
    <w:p w:rsidR="006F1F4B" w:rsidRDefault="006F1F4B" w:rsidP="00A966C6">
      <w:pPr>
        <w:pStyle w:val="aa"/>
        <w:spacing w:after="120"/>
        <w:ind w:left="0" w:firstLine="709"/>
        <w:jc w:val="center"/>
        <w:rPr>
          <w:b/>
          <w:color w:val="632423" w:themeColor="accent2" w:themeShade="80"/>
        </w:rPr>
      </w:pPr>
    </w:p>
    <w:p w:rsidR="006F1F4B" w:rsidRDefault="006F1F4B" w:rsidP="00A966C6">
      <w:pPr>
        <w:pStyle w:val="aa"/>
        <w:spacing w:after="120"/>
        <w:ind w:left="0" w:firstLine="709"/>
        <w:jc w:val="center"/>
        <w:rPr>
          <w:b/>
          <w:color w:val="632423" w:themeColor="accent2" w:themeShade="80"/>
        </w:rPr>
      </w:pPr>
    </w:p>
    <w:p w:rsidR="006F1F4B" w:rsidRDefault="006F1F4B" w:rsidP="00A966C6">
      <w:pPr>
        <w:pStyle w:val="aa"/>
        <w:spacing w:after="120"/>
        <w:ind w:left="0" w:firstLine="709"/>
        <w:jc w:val="center"/>
        <w:rPr>
          <w:b/>
          <w:color w:val="632423" w:themeColor="accent2" w:themeShade="80"/>
        </w:rPr>
      </w:pPr>
    </w:p>
    <w:p w:rsidR="00A966C6" w:rsidRDefault="00A966C6" w:rsidP="00A966C6">
      <w:pPr>
        <w:pStyle w:val="aa"/>
        <w:spacing w:after="120"/>
        <w:ind w:left="0"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lastRenderedPageBreak/>
        <w:t>Инвестиции в основной капитал Дальневосточного федерального округа</w:t>
      </w:r>
    </w:p>
    <w:p w:rsidR="00A966C6" w:rsidRPr="00A966C6" w:rsidRDefault="00A966C6" w:rsidP="00A966C6">
      <w:pPr>
        <w:pStyle w:val="aa"/>
        <w:spacing w:after="120"/>
        <w:ind w:left="0" w:firstLine="709"/>
        <w:jc w:val="center"/>
        <w:rPr>
          <w:sz w:val="20"/>
        </w:rPr>
      </w:pPr>
      <w:r w:rsidRPr="00A966C6">
        <w:rPr>
          <w:color w:val="632423" w:themeColor="accent2" w:themeShade="80"/>
          <w:sz w:val="20"/>
        </w:rPr>
        <w:t>(в фактически действовавших ценах, млн. рублей)</w:t>
      </w:r>
    </w:p>
    <w:tbl>
      <w:tblPr>
        <w:tblStyle w:val="-11"/>
        <w:tblW w:w="0" w:type="auto"/>
        <w:tblLook w:val="04A0"/>
      </w:tblPr>
      <w:tblGrid>
        <w:gridCol w:w="3011"/>
        <w:gridCol w:w="1134"/>
        <w:gridCol w:w="1134"/>
        <w:gridCol w:w="1134"/>
        <w:gridCol w:w="1134"/>
        <w:gridCol w:w="1134"/>
        <w:gridCol w:w="1173"/>
      </w:tblGrid>
      <w:tr w:rsidR="00A966C6" w:rsidRPr="00252D69" w:rsidTr="008B20AA">
        <w:trPr>
          <w:cnfStyle w:val="100000000000"/>
          <w:tblHeader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A966C6" w:rsidRPr="00252D69" w:rsidRDefault="00A966C6" w:rsidP="00286E84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A966C6" w:rsidRPr="00252D69" w:rsidRDefault="00A966C6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A966C6" w:rsidRPr="00252D69" w:rsidRDefault="00A966C6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A966C6" w:rsidRPr="00252D69" w:rsidRDefault="00A966C6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A966C6" w:rsidRPr="00252D69" w:rsidRDefault="00A966C6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A966C6" w:rsidRPr="00252D69" w:rsidRDefault="00A966C6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2017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A966C6" w:rsidRPr="00252D69" w:rsidRDefault="00A966C6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2018</w:t>
            </w:r>
            <w:r w:rsidRPr="00A966C6">
              <w:rPr>
                <w:color w:val="632423" w:themeColor="accent2" w:themeShade="80"/>
                <w:vertAlign w:val="superscript"/>
              </w:rPr>
              <w:t>1)</w:t>
            </w:r>
            <w:r w:rsidRPr="00252D69">
              <w:rPr>
                <w:color w:val="632423" w:themeColor="accent2" w:themeShade="80"/>
              </w:rPr>
              <w:t xml:space="preserve"> </w:t>
            </w:r>
          </w:p>
        </w:tc>
      </w:tr>
      <w:tr w:rsidR="00C168D9" w:rsidRPr="00252D69" w:rsidTr="00286E84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C168D9" w:rsidRPr="00252D69" w:rsidRDefault="00C168D9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842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440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810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554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905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087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 </w:t>
            </w:r>
            <w:r w:rsidRPr="00C168D9">
              <w:rPr>
                <w:bCs/>
                <w:color w:val="632423" w:themeColor="accent2" w:themeShade="80"/>
              </w:rPr>
              <w:t>000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776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 </w:t>
            </w:r>
            <w:r w:rsidRPr="00C168D9">
              <w:rPr>
                <w:bCs/>
                <w:color w:val="632423" w:themeColor="accent2" w:themeShade="80"/>
              </w:rPr>
              <w:t>149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635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</w:t>
            </w:r>
            <w:r>
              <w:rPr>
                <w:bCs/>
                <w:color w:val="632423" w:themeColor="accent2" w:themeShade="80"/>
              </w:rPr>
              <w:t> </w:t>
            </w:r>
            <w:r w:rsidRPr="00C168D9">
              <w:rPr>
                <w:bCs/>
                <w:color w:val="632423" w:themeColor="accent2" w:themeShade="80"/>
              </w:rPr>
              <w:t>394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467</w:t>
            </w:r>
          </w:p>
        </w:tc>
      </w:tr>
      <w:tr w:rsidR="00C168D9" w:rsidRPr="00C168D9" w:rsidTr="00A966C6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Pr="00A966C6" w:rsidRDefault="00C168D9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Республика Бурятия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48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754</w:t>
            </w:r>
          </w:p>
        </w:tc>
      </w:tr>
      <w:tr w:rsidR="00C168D9" w:rsidRPr="00C168D9" w:rsidTr="00AE2AA9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C168D9" w:rsidRPr="00A966C6" w:rsidRDefault="00C168D9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193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947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181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172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198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032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275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576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386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790 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403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427 </w:t>
            </w:r>
          </w:p>
        </w:tc>
      </w:tr>
      <w:tr w:rsidR="00C168D9" w:rsidRPr="00C168D9" w:rsidTr="00A966C6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Pr="00A966C6" w:rsidRDefault="00C168D9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Забайкальский край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90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058</w:t>
            </w:r>
          </w:p>
        </w:tc>
      </w:tr>
      <w:tr w:rsidR="00C168D9" w:rsidRPr="00C168D9" w:rsidTr="00286E84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Pr="00A966C6" w:rsidRDefault="00C168D9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32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708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25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128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22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850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37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298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39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007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39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279</w:t>
            </w:r>
          </w:p>
        </w:tc>
      </w:tr>
      <w:tr w:rsidR="00C168D9" w:rsidRPr="00C168D9" w:rsidTr="00286E84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Pr="00A966C6" w:rsidRDefault="00C168D9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061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134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301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139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208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130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500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130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935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141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859</w:t>
            </w:r>
          </w:p>
        </w:tc>
      </w:tr>
      <w:tr w:rsidR="00C168D9" w:rsidRPr="00C168D9" w:rsidTr="00A966C6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Pr="00F16E44" w:rsidRDefault="00C168D9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150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078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692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114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008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091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185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646</w:t>
            </w:r>
          </w:p>
        </w:tc>
      </w:tr>
      <w:tr w:rsidR="00C168D9" w:rsidRPr="00C168D9" w:rsidTr="00A966C6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Default="00C168D9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Амурская область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102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003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76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376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102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214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816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192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469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239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705</w:t>
            </w:r>
          </w:p>
        </w:tc>
      </w:tr>
      <w:tr w:rsidR="00C168D9" w:rsidRPr="00C168D9" w:rsidTr="00A966C6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Default="00C168D9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Магаданская область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37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879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40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722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60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666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41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798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43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892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51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512</w:t>
            </w:r>
          </w:p>
        </w:tc>
      </w:tr>
      <w:tr w:rsidR="00C168D9" w:rsidRPr="00C168D9" w:rsidTr="00A966C6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Default="00C168D9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Сахалинская область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175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632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205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489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241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464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240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011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211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815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218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339</w:t>
            </w:r>
          </w:p>
        </w:tc>
      </w:tr>
      <w:tr w:rsidR="00C168D9" w:rsidRPr="00C168D9" w:rsidTr="00A966C6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Default="00C168D9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327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288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012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929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042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821</w:t>
            </w:r>
          </w:p>
        </w:tc>
      </w:tr>
      <w:tr w:rsidR="00C168D9" w:rsidRPr="00C168D9" w:rsidTr="00A966C6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C168D9" w:rsidRDefault="00C168D9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804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386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 xml:space="preserve">633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757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500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C168D9" w:rsidRPr="00C168D9" w:rsidRDefault="00C168D9" w:rsidP="00C168D9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C168D9">
              <w:rPr>
                <w:bCs/>
                <w:color w:val="632423" w:themeColor="accent2" w:themeShade="80"/>
              </w:rPr>
              <w:t>15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C168D9">
              <w:rPr>
                <w:bCs/>
                <w:color w:val="632423" w:themeColor="accent2" w:themeShade="80"/>
              </w:rPr>
              <w:t>068</w:t>
            </w:r>
          </w:p>
        </w:tc>
      </w:tr>
      <w:tr w:rsidR="008B20AA" w:rsidRPr="008B20AA" w:rsidTr="00A966C6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8B20AA" w:rsidRDefault="008B20AA" w:rsidP="008B20AA">
            <w:pPr>
              <w:rPr>
                <w:b w:val="0"/>
                <w:color w:val="632423" w:themeColor="accent2" w:themeShade="80"/>
              </w:rPr>
            </w:pPr>
            <w:r w:rsidRPr="003C3EDD">
              <w:rPr>
                <w:b w:val="0"/>
                <w:i/>
                <w:color w:val="632423" w:themeColor="accent2" w:themeShade="80"/>
              </w:rPr>
              <w:t xml:space="preserve">Место </w:t>
            </w:r>
            <w:r>
              <w:rPr>
                <w:b w:val="0"/>
                <w:i/>
                <w:color w:val="632423" w:themeColor="accent2" w:themeShade="80"/>
              </w:rPr>
              <w:t>РС(Я) в ДВФО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B20AA" w:rsidRPr="008B20AA" w:rsidRDefault="008B20AA" w:rsidP="00C168D9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8B20AA">
              <w:rPr>
                <w:bCs/>
                <w:i/>
                <w:color w:val="632423" w:themeColor="accent2" w:themeShade="80"/>
              </w:rPr>
              <w:t>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B20AA" w:rsidRPr="008B20AA" w:rsidRDefault="008B20AA" w:rsidP="00C168D9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8B20AA">
              <w:rPr>
                <w:bCs/>
                <w:i/>
                <w:color w:val="632423" w:themeColor="accent2" w:themeShade="80"/>
              </w:rPr>
              <w:t>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B20AA" w:rsidRPr="008B20AA" w:rsidRDefault="008B20AA" w:rsidP="00C168D9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8B20AA">
              <w:rPr>
                <w:bCs/>
                <w:i/>
                <w:color w:val="632423" w:themeColor="accent2" w:themeShade="80"/>
              </w:rPr>
              <w:t>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B20AA" w:rsidRPr="008B20AA" w:rsidRDefault="008B20AA" w:rsidP="00C168D9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8B20AA">
              <w:rPr>
                <w:bCs/>
                <w:i/>
                <w:color w:val="632423" w:themeColor="accent2" w:themeShade="80"/>
              </w:rPr>
              <w:t>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8B20AA" w:rsidRPr="008B20AA" w:rsidRDefault="008B20AA" w:rsidP="00C168D9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8B20AA">
              <w:rPr>
                <w:bCs/>
                <w:i/>
                <w:color w:val="632423" w:themeColor="accent2" w:themeShade="80"/>
              </w:rPr>
              <w:t>1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8B20AA" w:rsidRPr="008B20AA" w:rsidRDefault="008B20AA" w:rsidP="00C168D9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 w:rsidRPr="008B20AA">
              <w:rPr>
                <w:bCs/>
                <w:i/>
                <w:color w:val="632423" w:themeColor="accent2" w:themeShade="80"/>
              </w:rPr>
              <w:t>1</w:t>
            </w:r>
          </w:p>
        </w:tc>
      </w:tr>
      <w:tr w:rsidR="00E721D4" w:rsidRPr="008B20AA" w:rsidTr="00A966C6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721D4" w:rsidRPr="003C3EDD" w:rsidRDefault="00E721D4" w:rsidP="00E721D4">
            <w:pPr>
              <w:rPr>
                <w:b w:val="0"/>
                <w:i/>
                <w:color w:val="632423" w:themeColor="accent2" w:themeShade="80"/>
              </w:rPr>
            </w:pPr>
            <w:r w:rsidRPr="003C3EDD">
              <w:rPr>
                <w:b w:val="0"/>
                <w:i/>
                <w:color w:val="632423" w:themeColor="accent2" w:themeShade="80"/>
              </w:rPr>
              <w:t xml:space="preserve">Место </w:t>
            </w:r>
            <w:r>
              <w:rPr>
                <w:b w:val="0"/>
                <w:i/>
                <w:color w:val="632423" w:themeColor="accent2" w:themeShade="80"/>
              </w:rPr>
              <w:t>РС(Я) в РФ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Pr="008B20AA" w:rsidRDefault="00E721D4" w:rsidP="00C168D9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20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Pr="008B20AA" w:rsidRDefault="00E721D4" w:rsidP="00C168D9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23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Pr="008B20AA" w:rsidRDefault="00E721D4" w:rsidP="00C168D9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20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Pr="008B20AA" w:rsidRDefault="00E721D4" w:rsidP="00C168D9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11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Pr="008B20AA" w:rsidRDefault="00E721D4" w:rsidP="00C168D9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8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Pr="008B20AA" w:rsidRDefault="00E721D4" w:rsidP="00C168D9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9</w:t>
            </w:r>
          </w:p>
        </w:tc>
      </w:tr>
      <w:tr w:rsidR="00C168D9" w:rsidRPr="00252D69" w:rsidTr="00286E84">
        <w:trPr>
          <w:cnfStyle w:val="000000100000"/>
        </w:trPr>
        <w:tc>
          <w:tcPr>
            <w:cnfStyle w:val="001000000000"/>
            <w:tcW w:w="9854" w:type="dxa"/>
            <w:gridSpan w:val="7"/>
            <w:tcBorders>
              <w:top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</w:tcPr>
          <w:p w:rsidR="00C168D9" w:rsidRPr="00A966C6" w:rsidRDefault="00C168D9" w:rsidP="00A966C6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  <w:sz w:val="18"/>
                <w:vertAlign w:val="superscript"/>
              </w:rPr>
              <w:t>1)</w:t>
            </w:r>
            <w:r w:rsidRPr="00A966C6">
              <w:rPr>
                <w:b w:val="0"/>
                <w:color w:val="632423" w:themeColor="accent2" w:themeShade="80"/>
                <w:sz w:val="18"/>
              </w:rPr>
              <w:t xml:space="preserve"> Предварительные данные</w:t>
            </w:r>
          </w:p>
        </w:tc>
      </w:tr>
    </w:tbl>
    <w:p w:rsidR="00DD348C" w:rsidRDefault="00C168D9" w:rsidP="00DD348C">
      <w:pPr>
        <w:pStyle w:val="aa"/>
        <w:spacing w:before="120" w:after="120"/>
        <w:ind w:left="0" w:firstLine="709"/>
        <w:contextualSpacing w:val="0"/>
        <w:jc w:val="both"/>
      </w:pPr>
      <w:r>
        <w:t xml:space="preserve">С 2014 г. объем инвестиций в основной капитал по </w:t>
      </w:r>
      <w:r w:rsidRPr="006F1F4B">
        <w:rPr>
          <w:b/>
        </w:rPr>
        <w:t>Дальневосточному федеральному округу</w:t>
      </w:r>
      <w:r>
        <w:t xml:space="preserve"> ежегодно увеличивался и в 2018 г. составил 1394 млрд. рублей. </w:t>
      </w:r>
      <w:r w:rsidR="008B20AA">
        <w:t xml:space="preserve">Наибольшая доля инвестиций (28,9%) в </w:t>
      </w:r>
      <w:r w:rsidR="00E721D4">
        <w:t>2013г., 2016-</w:t>
      </w:r>
      <w:r w:rsidR="008B20AA">
        <w:t xml:space="preserve">2018 </w:t>
      </w:r>
      <w:r w:rsidR="00E721D4">
        <w:t>г</w:t>
      </w:r>
      <w:r w:rsidR="008B20AA">
        <w:t>г. приходилась на Республику Саха (Якутия).</w:t>
      </w:r>
      <w:r w:rsidR="00DD348C" w:rsidRPr="00DD348C">
        <w:t xml:space="preserve"> </w:t>
      </w:r>
      <w:r w:rsidR="00DD348C">
        <w:t>По объему инвестиций на душу населения лидировала Сахалинская область, Республика Саха (Якутия) занимала 2-4 места.</w:t>
      </w:r>
    </w:p>
    <w:p w:rsidR="008B20AA" w:rsidRDefault="008B20AA" w:rsidP="008B20AA">
      <w:pPr>
        <w:pStyle w:val="aa"/>
        <w:spacing w:after="120"/>
        <w:ind w:left="0" w:firstLine="709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Инвестиции в основной капитал в расчете на душу населения по Дальневосточному федеральному округу</w:t>
      </w:r>
    </w:p>
    <w:p w:rsidR="008B20AA" w:rsidRPr="00A966C6" w:rsidRDefault="008B20AA" w:rsidP="008B20AA">
      <w:pPr>
        <w:pStyle w:val="aa"/>
        <w:spacing w:after="120"/>
        <w:ind w:left="0" w:firstLine="709"/>
        <w:jc w:val="center"/>
        <w:rPr>
          <w:sz w:val="20"/>
        </w:rPr>
      </w:pPr>
      <w:r w:rsidRPr="00A966C6">
        <w:rPr>
          <w:color w:val="632423" w:themeColor="accent2" w:themeShade="80"/>
          <w:sz w:val="20"/>
        </w:rPr>
        <w:t>(</w:t>
      </w:r>
      <w:r>
        <w:rPr>
          <w:color w:val="632423" w:themeColor="accent2" w:themeShade="80"/>
          <w:sz w:val="20"/>
        </w:rPr>
        <w:t>в фактически действовавших ценах, рублей</w:t>
      </w:r>
      <w:r w:rsidRPr="00A966C6">
        <w:rPr>
          <w:color w:val="632423" w:themeColor="accent2" w:themeShade="80"/>
          <w:sz w:val="20"/>
        </w:rPr>
        <w:t>)</w:t>
      </w:r>
    </w:p>
    <w:tbl>
      <w:tblPr>
        <w:tblStyle w:val="-11"/>
        <w:tblW w:w="0" w:type="auto"/>
        <w:tblLook w:val="04A0"/>
      </w:tblPr>
      <w:tblGrid>
        <w:gridCol w:w="3011"/>
        <w:gridCol w:w="1134"/>
        <w:gridCol w:w="1134"/>
        <w:gridCol w:w="1134"/>
        <w:gridCol w:w="1134"/>
        <w:gridCol w:w="1134"/>
        <w:gridCol w:w="1173"/>
      </w:tblGrid>
      <w:tr w:rsidR="008B20AA" w:rsidRPr="00252D69" w:rsidTr="00286E84">
        <w:trPr>
          <w:cnfStyle w:val="1000000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8B20AA" w:rsidRPr="00252D69" w:rsidRDefault="008B20AA" w:rsidP="00286E84">
            <w:pPr>
              <w:jc w:val="center"/>
              <w:rPr>
                <w:i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8B20AA" w:rsidRPr="00252D69" w:rsidRDefault="008B20AA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8B20AA" w:rsidRPr="00252D69" w:rsidRDefault="008B20AA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8B20AA" w:rsidRPr="00252D69" w:rsidRDefault="008B20AA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8B20AA" w:rsidRPr="00252D69" w:rsidRDefault="008B20AA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:rsidR="008B20AA" w:rsidRPr="00252D69" w:rsidRDefault="008B20AA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2017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</w:tcPr>
          <w:p w:rsidR="008B20AA" w:rsidRPr="00252D69" w:rsidRDefault="008B20AA" w:rsidP="00286E84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252D69">
              <w:rPr>
                <w:color w:val="632423" w:themeColor="accent2" w:themeShade="80"/>
              </w:rPr>
              <w:t>2018</w:t>
            </w:r>
            <w:r w:rsidRPr="00A966C6">
              <w:rPr>
                <w:color w:val="632423" w:themeColor="accent2" w:themeShade="80"/>
                <w:vertAlign w:val="superscript"/>
              </w:rPr>
              <w:t>1)</w:t>
            </w:r>
            <w:r w:rsidRPr="00252D69">
              <w:rPr>
                <w:color w:val="632423" w:themeColor="accent2" w:themeShade="80"/>
              </w:rPr>
              <w:t xml:space="preserve"> </w:t>
            </w:r>
          </w:p>
        </w:tc>
      </w:tr>
      <w:tr w:rsidR="00A803D4" w:rsidRPr="00252D69" w:rsidTr="00286E84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A803D4" w:rsidRPr="00252D69" w:rsidRDefault="00A803D4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135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027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130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339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145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911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161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707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186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206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169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941 </w:t>
            </w:r>
          </w:p>
        </w:tc>
      </w:tr>
      <w:tr w:rsidR="00A803D4" w:rsidRPr="00C168D9" w:rsidTr="00286E84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Pr="00A966C6" w:rsidRDefault="00A803D4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Республика Бурятия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49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552 </w:t>
            </w:r>
          </w:p>
        </w:tc>
      </w:tr>
      <w:tr w:rsidR="00A803D4" w:rsidRPr="00C168D9" w:rsidTr="00AE2AA9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</w:tcPr>
          <w:p w:rsidR="00A803D4" w:rsidRPr="00A966C6" w:rsidRDefault="00A803D4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203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045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189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540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206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651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286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682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401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409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F2DBDB" w:themeFill="accent2" w:themeFillTint="33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417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770 </w:t>
            </w:r>
          </w:p>
        </w:tc>
      </w:tr>
      <w:tr w:rsidR="00A803D4" w:rsidRPr="00C168D9" w:rsidTr="00286E84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Pr="00A966C6" w:rsidRDefault="00A803D4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Забайкальский край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 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84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222 </w:t>
            </w:r>
          </w:p>
        </w:tc>
      </w:tr>
      <w:tr w:rsidR="00A803D4" w:rsidRPr="00C168D9" w:rsidTr="00286E84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Pr="00A966C6" w:rsidRDefault="00A803D4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102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147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78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879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72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151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118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249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123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776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124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639 </w:t>
            </w:r>
          </w:p>
        </w:tc>
      </w:tr>
      <w:tr w:rsidR="00A803D4" w:rsidRPr="00C168D9" w:rsidTr="00286E84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Pr="00A966C6" w:rsidRDefault="00A803D4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63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339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69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374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72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085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67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755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68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263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74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354 </w:t>
            </w:r>
          </w:p>
        </w:tc>
      </w:tr>
      <w:tr w:rsidR="00A803D4" w:rsidRPr="00C168D9" w:rsidTr="00286E84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Pr="00F16E44" w:rsidRDefault="00A803D4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111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915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96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103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85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308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90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029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91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062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97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854 </w:t>
            </w:r>
          </w:p>
        </w:tc>
      </w:tr>
      <w:tr w:rsidR="00A803D4" w:rsidRPr="00C168D9" w:rsidTr="00286E84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Default="00A803D4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Амурская область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125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297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94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224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126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537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161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519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240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560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301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209 </w:t>
            </w:r>
          </w:p>
        </w:tc>
      </w:tr>
      <w:tr w:rsidR="00A803D4" w:rsidRPr="00C168D9" w:rsidTr="00286E84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Default="00A803D4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Магаданская область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250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299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272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948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412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113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286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371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303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055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361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077 </w:t>
            </w:r>
          </w:p>
        </w:tc>
      </w:tr>
      <w:tr w:rsidR="00A803D4" w:rsidRPr="00C168D9" w:rsidTr="00286E84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Default="00A803D4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Сахалинская область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356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857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419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615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494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963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492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514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433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370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445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672 </w:t>
            </w:r>
          </w:p>
        </w:tc>
      </w:tr>
      <w:tr w:rsidR="00A803D4" w:rsidRPr="00C168D9" w:rsidTr="00286E84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Default="00A803D4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83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526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60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742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71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826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78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280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67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694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1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104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502 </w:t>
            </w:r>
          </w:p>
        </w:tc>
      </w:tr>
      <w:tr w:rsidR="00A803D4" w:rsidRPr="00C168D9" w:rsidTr="00286E84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Default="00A803D4" w:rsidP="00286E84">
            <w:pPr>
              <w:rPr>
                <w:b w:val="0"/>
                <w:color w:val="632423" w:themeColor="accent2" w:themeShade="80"/>
              </w:rPr>
            </w:pPr>
            <w:r>
              <w:rPr>
                <w:b w:val="0"/>
                <w:color w:val="632423" w:themeColor="accent2" w:themeShade="80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252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708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165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907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290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634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255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183 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252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>095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A803D4" w:rsidRDefault="00A803D4" w:rsidP="00A803D4">
            <w:pPr>
              <w:jc w:val="right"/>
              <w:cnfStyle w:val="000000000000"/>
              <w:rPr>
                <w:bCs/>
                <w:color w:val="632423" w:themeColor="accent2" w:themeShade="80"/>
              </w:rPr>
            </w:pPr>
            <w:r w:rsidRPr="00A803D4">
              <w:rPr>
                <w:bCs/>
                <w:color w:val="632423" w:themeColor="accent2" w:themeShade="80"/>
              </w:rPr>
              <w:t>304</w:t>
            </w:r>
            <w:r>
              <w:rPr>
                <w:bCs/>
                <w:color w:val="632423" w:themeColor="accent2" w:themeShade="80"/>
              </w:rPr>
              <w:t xml:space="preserve"> </w:t>
            </w:r>
            <w:r w:rsidRPr="00A803D4">
              <w:rPr>
                <w:bCs/>
                <w:color w:val="632423" w:themeColor="accent2" w:themeShade="80"/>
              </w:rPr>
              <w:t xml:space="preserve">365 </w:t>
            </w:r>
          </w:p>
        </w:tc>
      </w:tr>
      <w:tr w:rsidR="00A803D4" w:rsidRPr="008B20AA" w:rsidTr="00286E84">
        <w:trPr>
          <w:cnfStyle w:val="000000100000"/>
        </w:trPr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A803D4" w:rsidRDefault="00A803D4" w:rsidP="00286E84">
            <w:pPr>
              <w:rPr>
                <w:b w:val="0"/>
                <w:color w:val="632423" w:themeColor="accent2" w:themeShade="80"/>
              </w:rPr>
            </w:pPr>
            <w:r w:rsidRPr="003C3EDD">
              <w:rPr>
                <w:b w:val="0"/>
                <w:i/>
                <w:color w:val="632423" w:themeColor="accent2" w:themeShade="80"/>
              </w:rPr>
              <w:t xml:space="preserve">Место </w:t>
            </w:r>
            <w:r>
              <w:rPr>
                <w:b w:val="0"/>
                <w:i/>
                <w:color w:val="632423" w:themeColor="accent2" w:themeShade="80"/>
              </w:rPr>
              <w:t>РС(Я) в ДВФО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8B20AA" w:rsidRDefault="00A803D4" w:rsidP="00286E84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8B20AA" w:rsidRDefault="00A803D4" w:rsidP="00286E84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8B20AA" w:rsidRDefault="00A803D4" w:rsidP="00286E84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4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8B20AA" w:rsidRDefault="00A803D4" w:rsidP="00286E84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2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8B20AA" w:rsidRDefault="00A803D4" w:rsidP="00286E84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2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A803D4" w:rsidRPr="008B20AA" w:rsidRDefault="00A803D4" w:rsidP="00286E84">
            <w:pPr>
              <w:jc w:val="right"/>
              <w:cnfStyle w:val="0000001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2</w:t>
            </w:r>
          </w:p>
        </w:tc>
      </w:tr>
      <w:tr w:rsidR="00E721D4" w:rsidRPr="008B20AA" w:rsidTr="00286E84">
        <w:tc>
          <w:tcPr>
            <w:cnfStyle w:val="001000000000"/>
            <w:tcW w:w="3011" w:type="dxa"/>
            <w:tcBorders>
              <w:top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</w:tcPr>
          <w:p w:rsidR="00E721D4" w:rsidRPr="003C3EDD" w:rsidRDefault="007D54C0" w:rsidP="00286E84">
            <w:pPr>
              <w:rPr>
                <w:b w:val="0"/>
                <w:i/>
                <w:color w:val="632423" w:themeColor="accent2" w:themeShade="80"/>
              </w:rPr>
            </w:pPr>
            <w:r w:rsidRPr="003C3EDD">
              <w:rPr>
                <w:b w:val="0"/>
                <w:i/>
                <w:color w:val="632423" w:themeColor="accent2" w:themeShade="80"/>
              </w:rPr>
              <w:t xml:space="preserve">Место </w:t>
            </w:r>
            <w:r>
              <w:rPr>
                <w:b w:val="0"/>
                <w:i/>
                <w:color w:val="632423" w:themeColor="accent2" w:themeShade="80"/>
              </w:rPr>
              <w:t>РС(Я) в РФ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Default="003117DD" w:rsidP="00286E84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6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Default="00D51111" w:rsidP="00286E84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Default="00D51111" w:rsidP="00286E84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5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Default="00D51111" w:rsidP="00286E84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Default="00D51111" w:rsidP="00286E84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3</w:t>
            </w:r>
          </w:p>
        </w:tc>
        <w:tc>
          <w:tcPr>
            <w:tcW w:w="1173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  <w:vAlign w:val="bottom"/>
          </w:tcPr>
          <w:p w:rsidR="00E721D4" w:rsidRDefault="00D51111" w:rsidP="00286E84">
            <w:pPr>
              <w:jc w:val="right"/>
              <w:cnfStyle w:val="000000000000"/>
              <w:rPr>
                <w:bCs/>
                <w:i/>
                <w:color w:val="632423" w:themeColor="accent2" w:themeShade="80"/>
              </w:rPr>
            </w:pPr>
            <w:r>
              <w:rPr>
                <w:bCs/>
                <w:i/>
                <w:color w:val="632423" w:themeColor="accent2" w:themeShade="80"/>
              </w:rPr>
              <w:t>3</w:t>
            </w:r>
          </w:p>
        </w:tc>
      </w:tr>
      <w:tr w:rsidR="00A803D4" w:rsidRPr="00252D69" w:rsidTr="00286E84">
        <w:trPr>
          <w:cnfStyle w:val="000000100000"/>
        </w:trPr>
        <w:tc>
          <w:tcPr>
            <w:cnfStyle w:val="001000000000"/>
            <w:tcW w:w="9854" w:type="dxa"/>
            <w:gridSpan w:val="7"/>
            <w:tcBorders>
              <w:top w:val="single" w:sz="8" w:space="0" w:color="632423" w:themeColor="accent2" w:themeShade="80"/>
              <w:bottom w:val="single" w:sz="8" w:space="0" w:color="632423" w:themeColor="accent2" w:themeShade="80"/>
            </w:tcBorders>
            <w:shd w:val="clear" w:color="auto" w:fill="auto"/>
          </w:tcPr>
          <w:p w:rsidR="00A803D4" w:rsidRPr="00A966C6" w:rsidRDefault="00A803D4" w:rsidP="00286E84">
            <w:pPr>
              <w:rPr>
                <w:b w:val="0"/>
                <w:color w:val="632423" w:themeColor="accent2" w:themeShade="80"/>
              </w:rPr>
            </w:pPr>
            <w:r w:rsidRPr="00A966C6">
              <w:rPr>
                <w:b w:val="0"/>
                <w:color w:val="632423" w:themeColor="accent2" w:themeShade="80"/>
                <w:sz w:val="18"/>
                <w:vertAlign w:val="superscript"/>
              </w:rPr>
              <w:t>1)</w:t>
            </w:r>
            <w:r w:rsidRPr="00A966C6">
              <w:rPr>
                <w:b w:val="0"/>
                <w:color w:val="632423" w:themeColor="accent2" w:themeShade="80"/>
                <w:sz w:val="18"/>
              </w:rPr>
              <w:t xml:space="preserve"> Предварительные данные</w:t>
            </w:r>
          </w:p>
        </w:tc>
      </w:tr>
    </w:tbl>
    <w:p w:rsidR="006F1F4B" w:rsidRDefault="006F1F4B" w:rsidP="009B7F74">
      <w:pPr>
        <w:pStyle w:val="aa"/>
        <w:spacing w:before="120" w:after="120"/>
        <w:ind w:left="0" w:firstLine="709"/>
        <w:contextualSpacing w:val="0"/>
        <w:jc w:val="both"/>
      </w:pPr>
    </w:p>
    <w:p w:rsidR="006F1F4B" w:rsidRDefault="006F1F4B" w:rsidP="009B7F74">
      <w:pPr>
        <w:pStyle w:val="aa"/>
        <w:spacing w:before="120" w:after="120"/>
        <w:ind w:left="0" w:firstLine="709"/>
        <w:contextualSpacing w:val="0"/>
        <w:jc w:val="both"/>
      </w:pPr>
    </w:p>
    <w:p w:rsidR="00D51111" w:rsidRDefault="00AE352C" w:rsidP="009B7F74">
      <w:pPr>
        <w:pStyle w:val="aa"/>
        <w:spacing w:before="120" w:after="120"/>
        <w:ind w:left="0" w:firstLine="709"/>
        <w:contextualSpacing w:val="0"/>
        <w:jc w:val="both"/>
      </w:pPr>
      <w:r>
        <w:lastRenderedPageBreak/>
        <w:t>В целом за рассматриваемый период и</w:t>
      </w:r>
      <w:r w:rsidR="00D51111" w:rsidRPr="007B5E34">
        <w:t xml:space="preserve">нвестиционная деятельность в республике </w:t>
      </w:r>
      <w:r w:rsidR="0057189E" w:rsidRPr="007B5E34">
        <w:t xml:space="preserve">характеризовалась </w:t>
      </w:r>
      <w:r w:rsidR="0057189E" w:rsidRPr="00653AE4">
        <w:rPr>
          <w:b/>
        </w:rPr>
        <w:t>положительными тенденциями</w:t>
      </w:r>
      <w:r w:rsidR="007B5E34" w:rsidRPr="007B5E34">
        <w:t xml:space="preserve"> развития, шла реализация нескольких крупных инвестиционных проектов, было начато строительство крупнейшего объекта – магистрального газопровода «Сила Сибири».</w:t>
      </w:r>
      <w:r w:rsidR="007B5E34">
        <w:t xml:space="preserve"> Благодаря этому, республика заняла </w:t>
      </w:r>
      <w:r w:rsidR="007B5E34" w:rsidRPr="00653AE4">
        <w:rPr>
          <w:i/>
        </w:rPr>
        <w:t>первое место</w:t>
      </w:r>
      <w:r w:rsidR="007B5E34">
        <w:t xml:space="preserve"> </w:t>
      </w:r>
      <w:r w:rsidR="007B5E34" w:rsidRPr="005359E8">
        <w:t>по</w:t>
      </w:r>
      <w:r w:rsidR="007B5E34" w:rsidRPr="005359E8">
        <w:rPr>
          <w:b/>
        </w:rPr>
        <w:t xml:space="preserve"> </w:t>
      </w:r>
      <w:r w:rsidR="007B5E34" w:rsidRPr="005359E8">
        <w:t>объему инвестиций</w:t>
      </w:r>
      <w:r w:rsidR="007B5E34">
        <w:t xml:space="preserve"> в ДВФО, и вошла в </w:t>
      </w:r>
      <w:r w:rsidR="007B5E34" w:rsidRPr="00653AE4">
        <w:rPr>
          <w:i/>
        </w:rPr>
        <w:t>первую десятку</w:t>
      </w:r>
      <w:r w:rsidR="007B5E34">
        <w:t xml:space="preserve"> регионов РФ.</w:t>
      </w:r>
      <w:r w:rsidR="00B705C0">
        <w:t xml:space="preserve"> По объему инвестиций в основной капитал в расчете </w:t>
      </w:r>
      <w:r w:rsidR="00B705C0" w:rsidRPr="005359E8">
        <w:t xml:space="preserve">на душу населения республика с 2016 г. стабильно занимала </w:t>
      </w:r>
      <w:r w:rsidR="00B705C0" w:rsidRPr="005359E8">
        <w:rPr>
          <w:i/>
        </w:rPr>
        <w:t>второе место</w:t>
      </w:r>
      <w:r w:rsidR="00B705C0" w:rsidRPr="005359E8">
        <w:t xml:space="preserve"> в ДВФО</w:t>
      </w:r>
      <w:r w:rsidR="00B705C0">
        <w:t xml:space="preserve"> и </w:t>
      </w:r>
      <w:r w:rsidR="00B705C0" w:rsidRPr="00B705C0">
        <w:rPr>
          <w:i/>
        </w:rPr>
        <w:t>третье место</w:t>
      </w:r>
      <w:r w:rsidR="00B705C0">
        <w:t xml:space="preserve"> в РФ.</w:t>
      </w:r>
    </w:p>
    <w:p w:rsidR="00A46661" w:rsidRPr="002248DF" w:rsidRDefault="007B5E34" w:rsidP="009B7F74">
      <w:pPr>
        <w:pStyle w:val="aa"/>
        <w:spacing w:before="120" w:after="120"/>
        <w:ind w:left="0" w:firstLine="709"/>
        <w:contextualSpacing w:val="0"/>
        <w:jc w:val="both"/>
      </w:pPr>
      <w:r>
        <w:t xml:space="preserve">Доля инвестиций в основной капитал в ВРП республики выросла с 34,0% в 2013 г. до 42,2% в 2017 г. Отмечалось увеличение доли </w:t>
      </w:r>
      <w:r w:rsidRPr="00653AE4">
        <w:rPr>
          <w:b/>
        </w:rPr>
        <w:t>частных инвесторов</w:t>
      </w:r>
      <w:r>
        <w:t xml:space="preserve"> (с 49,5% до 71,2%) в общем объеме </w:t>
      </w:r>
      <w:r w:rsidRPr="002248DF">
        <w:t>инвестиций по республике.</w:t>
      </w:r>
      <w:r w:rsidR="00653AE4" w:rsidRPr="002248DF">
        <w:t xml:space="preserve"> Более половины всех </w:t>
      </w:r>
      <w:r w:rsidR="00A46661" w:rsidRPr="002248DF">
        <w:t xml:space="preserve">инвестиций </w:t>
      </w:r>
      <w:r w:rsidR="00653AE4" w:rsidRPr="002248DF">
        <w:t>было осуществлено</w:t>
      </w:r>
      <w:r w:rsidR="00A2550B" w:rsidRPr="002248DF">
        <w:t xml:space="preserve"> в </w:t>
      </w:r>
      <w:r w:rsidR="00A2550B" w:rsidRPr="002248DF">
        <w:rPr>
          <w:b/>
        </w:rPr>
        <w:t>нежилые здания и сооружения</w:t>
      </w:r>
      <w:r w:rsidR="00653AE4" w:rsidRPr="002248DF">
        <w:t>.</w:t>
      </w:r>
    </w:p>
    <w:p w:rsidR="00653AE4" w:rsidRDefault="002B75EE" w:rsidP="009B7F74">
      <w:pPr>
        <w:pStyle w:val="aa"/>
        <w:spacing w:before="120" w:after="120"/>
        <w:ind w:left="0" w:firstLine="709"/>
        <w:contextualSpacing w:val="0"/>
        <w:jc w:val="both"/>
      </w:pPr>
      <w:r w:rsidRPr="002248DF">
        <w:t xml:space="preserve">Основным источником финансирования инвестиций в основной капитал были </w:t>
      </w:r>
      <w:r w:rsidRPr="002248DF">
        <w:rPr>
          <w:b/>
        </w:rPr>
        <w:t>привлеченные средства</w:t>
      </w:r>
      <w:r w:rsidRPr="002248DF">
        <w:t>, их доля</w:t>
      </w:r>
      <w:r w:rsidR="002248DF" w:rsidRPr="002248DF">
        <w:t xml:space="preserve"> увеличилась с 53,6% в 2013 г. до 66,1% в 2018 г.</w:t>
      </w:r>
    </w:p>
    <w:p w:rsidR="002248DF" w:rsidRDefault="002248DF" w:rsidP="009B7F74">
      <w:pPr>
        <w:pStyle w:val="aa"/>
        <w:spacing w:before="120" w:after="120"/>
        <w:ind w:left="0" w:firstLine="709"/>
        <w:contextualSpacing w:val="0"/>
        <w:jc w:val="both"/>
      </w:pPr>
      <w:r>
        <w:t xml:space="preserve">В разрезе </w:t>
      </w:r>
      <w:r w:rsidRPr="002248DF">
        <w:rPr>
          <w:b/>
        </w:rPr>
        <w:t xml:space="preserve">районов </w:t>
      </w:r>
      <w:r>
        <w:t>республики наибольший объем инвестиций приходился на Ленский, Олекминский, Нерюнгрнинский, Алданский, Мирнинский, Оленекский районы и город республиканского значения Якутск.</w:t>
      </w:r>
    </w:p>
    <w:p w:rsidR="002248DF" w:rsidRDefault="002248DF" w:rsidP="009B7F74">
      <w:pPr>
        <w:pStyle w:val="aa"/>
        <w:spacing w:before="120" w:after="120"/>
        <w:ind w:left="0" w:firstLine="709"/>
        <w:contextualSpacing w:val="0"/>
        <w:jc w:val="both"/>
      </w:pPr>
      <w:r>
        <w:t xml:space="preserve">Более половины всех инвестиций были осуществлены в </w:t>
      </w:r>
      <w:r w:rsidRPr="002248DF">
        <w:rPr>
          <w:b/>
        </w:rPr>
        <w:t>два вида экономической деятельности</w:t>
      </w:r>
      <w:r>
        <w:t>: «Добыча полезных ископаемых» и «Транспортировка и хранение».</w:t>
      </w:r>
    </w:p>
    <w:p w:rsidR="002248DF" w:rsidRDefault="002248DF" w:rsidP="009B7F74">
      <w:pPr>
        <w:pStyle w:val="aa"/>
        <w:spacing w:before="120" w:after="120"/>
        <w:ind w:left="0" w:firstLine="709"/>
        <w:contextualSpacing w:val="0"/>
        <w:jc w:val="both"/>
      </w:pPr>
      <w:r>
        <w:t xml:space="preserve">Значительно влияет на инвестиционную деятельность в республике реализация крупных инвестиционных проектов с привлечением организаций, </w:t>
      </w:r>
      <w:r w:rsidRPr="002248DF">
        <w:rPr>
          <w:b/>
        </w:rPr>
        <w:t>зарегистрированных на территории других субъектов РФ</w:t>
      </w:r>
      <w:r>
        <w:t xml:space="preserve">. Их вложения оказывают влияние не только на объем, но и на структуру инвестиций, а также на индекс физического объема. В некоторых районах республики </w:t>
      </w:r>
      <w:r w:rsidR="00392F11">
        <w:t>вложения инорегиональных организаций составляют более 80% всех инвестиций по району.</w:t>
      </w:r>
    </w:p>
    <w:p w:rsidR="006929B1" w:rsidRPr="00392F11" w:rsidRDefault="007315BD" w:rsidP="009B7F74">
      <w:pPr>
        <w:pStyle w:val="aa"/>
        <w:spacing w:before="120" w:after="120"/>
        <w:ind w:left="0" w:firstLine="709"/>
        <w:contextualSpacing w:val="0"/>
        <w:jc w:val="both"/>
      </w:pPr>
      <w:r w:rsidRPr="00392F11">
        <w:t>Помимо мегапроектов, п</w:t>
      </w:r>
      <w:r w:rsidR="006929B1" w:rsidRPr="00392F11">
        <w:t>равительство республики ведет активную работу по стимулирова</w:t>
      </w:r>
      <w:r w:rsidRPr="00392F11">
        <w:t xml:space="preserve">нию инвестиционной активности, </w:t>
      </w:r>
      <w:r w:rsidR="006929B1" w:rsidRPr="00392F11">
        <w:t xml:space="preserve">формированию </w:t>
      </w:r>
      <w:r w:rsidRPr="00392F11">
        <w:t xml:space="preserve">благоприятного инвестиционного климата и созданию комфортной инфраструктуры для инвесторов. </w:t>
      </w:r>
      <w:r w:rsidR="006929B1" w:rsidRPr="00392F11">
        <w:t xml:space="preserve"> </w:t>
      </w:r>
      <w:r w:rsidRPr="00392F11">
        <w:t>Предоставляется государственная поддержка в виде налоговых преференций для резидентов ТОР и инвесторов региональных инвестиционных проектов, активно реализуются механизмы государственно-частного партнерства.</w:t>
      </w:r>
    </w:p>
    <w:p w:rsidR="007315BD" w:rsidRPr="00392F11" w:rsidRDefault="009E713E" w:rsidP="009B7F74">
      <w:pPr>
        <w:pStyle w:val="aa"/>
        <w:spacing w:before="120" w:after="120"/>
        <w:ind w:left="0" w:firstLine="709"/>
        <w:contextualSpacing w:val="0"/>
        <w:jc w:val="both"/>
      </w:pPr>
      <w:r w:rsidRPr="00392F11">
        <w:t>Таким образом, можно сказать, что в Республике Саха (Якутия)</w:t>
      </w:r>
      <w:r w:rsidR="00EC4669" w:rsidRPr="00392F11">
        <w:t xml:space="preserve">, несмотря на </w:t>
      </w:r>
      <w:r w:rsidR="00D51111" w:rsidRPr="00392F11">
        <w:t xml:space="preserve">объективные </w:t>
      </w:r>
      <w:r w:rsidR="00B705C0">
        <w:t>трудности</w:t>
      </w:r>
      <w:r w:rsidR="00EC4669" w:rsidRPr="00392F11">
        <w:t xml:space="preserve"> (климатические условия, транспортная удаленность, высокие тарифы), </w:t>
      </w:r>
      <w:r w:rsidRPr="00392F11">
        <w:t xml:space="preserve"> имеются </w:t>
      </w:r>
      <w:r w:rsidR="00EC4669" w:rsidRPr="00392F11">
        <w:t xml:space="preserve">все </w:t>
      </w:r>
      <w:r w:rsidRPr="00392F11">
        <w:t xml:space="preserve">предпосылки для </w:t>
      </w:r>
      <w:r w:rsidR="00D51111" w:rsidRPr="00392F11">
        <w:t>сохранения</w:t>
      </w:r>
      <w:r w:rsidRPr="00392F11">
        <w:t xml:space="preserve"> передовых позиций по объему инвестиций в основной капитал среди регионов РФ. </w:t>
      </w:r>
    </w:p>
    <w:p w:rsidR="00392F11" w:rsidRDefault="00392F11" w:rsidP="00073844">
      <w:pPr>
        <w:pStyle w:val="aa"/>
        <w:spacing w:after="120"/>
        <w:jc w:val="center"/>
      </w:pPr>
    </w:p>
    <w:p w:rsidR="00392F11" w:rsidRDefault="00392F11" w:rsidP="00073844">
      <w:pPr>
        <w:pStyle w:val="aa"/>
        <w:spacing w:after="120"/>
        <w:jc w:val="center"/>
      </w:pPr>
    </w:p>
    <w:p w:rsidR="00392F11" w:rsidRDefault="00392F11" w:rsidP="00073844">
      <w:pPr>
        <w:pStyle w:val="aa"/>
        <w:spacing w:after="120"/>
        <w:jc w:val="center"/>
      </w:pPr>
    </w:p>
    <w:p w:rsidR="00966F58" w:rsidRDefault="00966F58" w:rsidP="00073844">
      <w:pPr>
        <w:pStyle w:val="aa"/>
        <w:spacing w:after="120"/>
        <w:jc w:val="center"/>
      </w:pPr>
    </w:p>
    <w:p w:rsidR="00966F58" w:rsidRDefault="00966F58" w:rsidP="00073844">
      <w:pPr>
        <w:pStyle w:val="aa"/>
        <w:spacing w:after="120"/>
        <w:jc w:val="center"/>
      </w:pPr>
    </w:p>
    <w:p w:rsidR="00966F58" w:rsidRPr="000A4FEE" w:rsidRDefault="00966F58" w:rsidP="00966F58">
      <w:pPr>
        <w:autoSpaceDE w:val="0"/>
        <w:autoSpaceDN w:val="0"/>
        <w:adjustRightInd w:val="0"/>
        <w:spacing w:after="0"/>
        <w:rPr>
          <w:rFonts w:eastAsia="Calibri"/>
          <w:b/>
          <w:color w:val="000000"/>
        </w:rPr>
      </w:pPr>
      <w:r w:rsidRPr="000A4FEE">
        <w:rPr>
          <w:rFonts w:eastAsia="Calibri"/>
          <w:b/>
          <w:color w:val="000000"/>
        </w:rPr>
        <w:t xml:space="preserve">Саха(Якутия)стат, г.Якутск, </w:t>
      </w:r>
      <w:r w:rsidRPr="000A4FEE">
        <w:rPr>
          <w:rFonts w:eastAsia="Calibri"/>
          <w:b/>
          <w:bCs/>
          <w:color w:val="000000"/>
        </w:rPr>
        <w:t>ул. Орджоникидзе, 27</w:t>
      </w:r>
    </w:p>
    <w:p w:rsidR="00966F58" w:rsidRPr="000A4FEE" w:rsidRDefault="00966F58" w:rsidP="00966F58">
      <w:pPr>
        <w:autoSpaceDE w:val="0"/>
        <w:autoSpaceDN w:val="0"/>
        <w:adjustRightInd w:val="0"/>
        <w:spacing w:after="0"/>
        <w:rPr>
          <w:rFonts w:eastAsia="Calibri"/>
          <w:b/>
          <w:color w:val="000000"/>
        </w:rPr>
      </w:pPr>
      <w:r w:rsidRPr="000A4FEE">
        <w:rPr>
          <w:rFonts w:eastAsia="Calibri"/>
          <w:b/>
          <w:bCs/>
          <w:color w:val="000000"/>
        </w:rPr>
        <w:t>Тел. 42-4</w:t>
      </w:r>
      <w:r>
        <w:rPr>
          <w:rFonts w:eastAsia="Calibri"/>
          <w:b/>
          <w:bCs/>
          <w:color w:val="000000"/>
        </w:rPr>
        <w:t>8-35</w:t>
      </w:r>
    </w:p>
    <w:p w:rsidR="00966F58" w:rsidRDefault="00966F58" w:rsidP="00966F58">
      <w:pPr>
        <w:autoSpaceDE w:val="0"/>
        <w:autoSpaceDN w:val="0"/>
        <w:adjustRightInd w:val="0"/>
        <w:spacing w:after="0"/>
        <w:rPr>
          <w:rFonts w:eastAsia="Calibri"/>
          <w:b/>
          <w:bCs/>
          <w:color w:val="000000"/>
        </w:rPr>
      </w:pPr>
      <w:r w:rsidRPr="000A4FEE">
        <w:rPr>
          <w:rFonts w:eastAsia="Calibri"/>
          <w:b/>
          <w:bCs/>
          <w:color w:val="000000"/>
        </w:rPr>
        <w:t xml:space="preserve">Отдел статистики </w:t>
      </w:r>
      <w:r>
        <w:rPr>
          <w:rFonts w:eastAsia="Calibri"/>
          <w:b/>
          <w:bCs/>
          <w:color w:val="000000"/>
        </w:rPr>
        <w:t xml:space="preserve">цен, финансов, строительства, </w:t>
      </w:r>
    </w:p>
    <w:p w:rsidR="00966F58" w:rsidRPr="000A4FEE" w:rsidRDefault="00966F58" w:rsidP="00966F58">
      <w:pPr>
        <w:autoSpaceDE w:val="0"/>
        <w:autoSpaceDN w:val="0"/>
        <w:adjustRightInd w:val="0"/>
        <w:spacing w:after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инвестиций и жилищно-коммунального хозяйства</w:t>
      </w:r>
    </w:p>
    <w:p w:rsidR="005E2CDF" w:rsidRDefault="00966F58" w:rsidP="00966F58">
      <w:pPr>
        <w:spacing w:after="0"/>
        <w:rPr>
          <w:b/>
          <w:color w:val="632423" w:themeColor="accent2" w:themeShade="80"/>
          <w:sz w:val="32"/>
          <w:szCs w:val="32"/>
        </w:rPr>
      </w:pPr>
      <w:r w:rsidRPr="000A4FEE">
        <w:rPr>
          <w:rFonts w:eastAsia="Calibri"/>
          <w:color w:val="000000"/>
        </w:rPr>
        <w:t xml:space="preserve">email: </w:t>
      </w:r>
      <w:r w:rsidRPr="000A4FEE">
        <w:rPr>
          <w:rFonts w:eastAsia="Calibri"/>
          <w:color w:val="000000"/>
          <w:lang w:val="en-US"/>
        </w:rPr>
        <w:t>sakha</w:t>
      </w:r>
      <w:r w:rsidRPr="000A4FEE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6</w:t>
      </w:r>
      <w:r w:rsidRPr="006A0A0C">
        <w:rPr>
          <w:rFonts w:eastAsia="Calibri"/>
          <w:color w:val="000000"/>
        </w:rPr>
        <w:t>@</w:t>
      </w:r>
      <w:r w:rsidRPr="000A4FEE">
        <w:rPr>
          <w:rFonts w:eastAsia="Calibri"/>
          <w:color w:val="000000"/>
          <w:lang w:val="en-US"/>
        </w:rPr>
        <w:t>gks</w:t>
      </w:r>
      <w:r w:rsidRPr="000A4FEE">
        <w:rPr>
          <w:rFonts w:eastAsia="Calibri"/>
          <w:color w:val="000000"/>
        </w:rPr>
        <w:t>.ru</w:t>
      </w:r>
    </w:p>
    <w:p w:rsidR="00B705C0" w:rsidRDefault="00B705C0" w:rsidP="00073844">
      <w:pPr>
        <w:pStyle w:val="aa"/>
        <w:spacing w:after="120"/>
        <w:jc w:val="center"/>
        <w:rPr>
          <w:b/>
          <w:color w:val="632423" w:themeColor="accent2" w:themeShade="80"/>
          <w:sz w:val="32"/>
          <w:szCs w:val="32"/>
        </w:rPr>
      </w:pPr>
    </w:p>
    <w:sectPr w:rsidR="00B705C0" w:rsidSect="00B83E67">
      <w:headerReference w:type="default" r:id="rId16"/>
      <w:footerReference w:type="default" r:id="rId1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20" w:rsidRDefault="001E4220" w:rsidP="001A57C5">
      <w:pPr>
        <w:spacing w:after="0" w:line="240" w:lineRule="auto"/>
      </w:pPr>
      <w:r>
        <w:separator/>
      </w:r>
    </w:p>
  </w:endnote>
  <w:endnote w:type="continuationSeparator" w:id="1">
    <w:p w:rsidR="001E4220" w:rsidRDefault="001E4220" w:rsidP="001A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849838"/>
      <w:docPartObj>
        <w:docPartGallery w:val="Page Numbers (Bottom of Page)"/>
        <w:docPartUnique/>
      </w:docPartObj>
    </w:sdtPr>
    <w:sdtContent>
      <w:p w:rsidR="005825C6" w:rsidRDefault="005825C6">
        <w:pPr>
          <w:pStyle w:val="a5"/>
        </w:pPr>
        <w:r>
          <w:rPr>
            <w:lang w:eastAsia="zh-TW"/>
          </w:rPr>
          <w:pict>
            <v:rect id="_x0000_s1035" style="position:absolute;margin-left:0;margin-top:0;width:44.55pt;height:15.1pt;rotation:-180;flip:x;z-index:251664384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35" inset=",0,,0">
                <w:txbxContent>
                  <w:p w:rsidR="005825C6" w:rsidRDefault="005825C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966F58" w:rsidRPr="00966F58">
                        <w:rPr>
                          <w:noProof/>
                          <w:color w:val="C0504D" w:themeColor="accent2"/>
                        </w:rPr>
                        <w:t>12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20" w:rsidRDefault="001E4220" w:rsidP="001A57C5">
      <w:pPr>
        <w:spacing w:after="0" w:line="240" w:lineRule="auto"/>
      </w:pPr>
      <w:r>
        <w:separator/>
      </w:r>
    </w:p>
  </w:footnote>
  <w:footnote w:type="continuationSeparator" w:id="1">
    <w:p w:rsidR="001E4220" w:rsidRDefault="001E4220" w:rsidP="001A57C5">
      <w:pPr>
        <w:spacing w:after="0" w:line="240" w:lineRule="auto"/>
      </w:pPr>
      <w:r>
        <w:continuationSeparator/>
      </w:r>
    </w:p>
  </w:footnote>
  <w:footnote w:id="2">
    <w:p w:rsidR="005825C6" w:rsidRDefault="005825C6" w:rsidP="00B55AC2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8328C">
        <w:rPr>
          <w:sz w:val="18"/>
          <w:szCs w:val="18"/>
        </w:rPr>
        <w:t>В соответствии с Федеральным планом статистических работ Росстата утвержденные итоги ВРП по Республике Саха(Якутия) за 2018 г. будут опубликованы в марте 2020 г.</w:t>
      </w:r>
    </w:p>
  </w:footnote>
  <w:footnote w:id="3">
    <w:p w:rsidR="005825C6" w:rsidRPr="008D2679" w:rsidRDefault="005825C6">
      <w:pPr>
        <w:pStyle w:val="ae"/>
        <w:rPr>
          <w:sz w:val="18"/>
          <w:szCs w:val="18"/>
        </w:rPr>
      </w:pPr>
      <w:r w:rsidRPr="008D2679">
        <w:rPr>
          <w:rStyle w:val="af0"/>
          <w:sz w:val="18"/>
          <w:szCs w:val="18"/>
        </w:rPr>
        <w:footnoteRef/>
      </w:r>
      <w:r w:rsidRPr="008D2679">
        <w:rPr>
          <w:sz w:val="18"/>
          <w:szCs w:val="18"/>
        </w:rPr>
        <w:t xml:space="preserve"> За 2018 г. – предварительные данные.</w:t>
      </w:r>
    </w:p>
  </w:footnote>
  <w:footnote w:id="4">
    <w:p w:rsidR="005825C6" w:rsidRDefault="005825C6">
      <w:pPr>
        <w:pStyle w:val="ae"/>
      </w:pPr>
      <w:r>
        <w:rPr>
          <w:rStyle w:val="af0"/>
        </w:rPr>
        <w:footnoteRef/>
      </w:r>
      <w:r>
        <w:t xml:space="preserve"> Здесь и далее – без субъектов малого предпринимательства и объема инвестиций, не наблюдаемых прямыми статистическими методами.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632423" w:themeColor="accent2" w:themeShade="80"/>
      </w:rPr>
      <w:alias w:val="Заголовок"/>
      <w:id w:val="536411716"/>
      <w:placeholder>
        <w:docPart w:val="7E12A5226DC14680B9C1A580887933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25C6" w:rsidRDefault="005825C6">
        <w:pPr>
          <w:pStyle w:val="a3"/>
          <w:rPr>
            <w:rFonts w:asciiTheme="majorHAnsi" w:eastAsiaTheme="majorEastAsia" w:hAnsiTheme="majorHAnsi" w:cstheme="majorBidi"/>
          </w:rPr>
        </w:pPr>
        <w:r w:rsidRPr="00252D69">
          <w:rPr>
            <w:rFonts w:asciiTheme="majorHAnsi" w:eastAsiaTheme="majorEastAsia" w:hAnsiTheme="majorHAnsi" w:cstheme="majorBidi"/>
            <w:color w:val="632423" w:themeColor="accent2" w:themeShade="80"/>
          </w:rPr>
          <w:t>Инвестиционная деятельность в Республике Саха (Якутия) за 2013-2018 гг.</w:t>
        </w:r>
      </w:p>
    </w:sdtContent>
  </w:sdt>
  <w:p w:rsidR="005825C6" w:rsidRDefault="005825C6">
    <w:pPr>
      <w:pStyle w:val="a3"/>
    </w:pPr>
    <w:r w:rsidRPr="00BA08A4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A08A4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c0504d [3205]" strokecolor="#f2f2f2 [3041]" strokeweight="3pt">
          <v:shadow on="t" type="perspective" color="#622423 [1605]" opacity=".5" offset="1pt" offset2="-1pt"/>
          <w10:wrap anchorx="page" anchory="page"/>
        </v:rect>
      </w:pict>
    </w:r>
    <w:r w:rsidRPr="00BA08A4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c0504d [3205]" strokecolor="#f2f2f2 [3041]" strokeweight="3pt">
          <v:shadow on="t" type="perspective" color="#622423 [1605]" opacity=".5" offset="1pt" offset2="-1pt"/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AA2"/>
    <w:multiLevelType w:val="hybridMultilevel"/>
    <w:tmpl w:val="7D94F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3D4"/>
    <w:multiLevelType w:val="hybridMultilevel"/>
    <w:tmpl w:val="D8024178"/>
    <w:lvl w:ilvl="0" w:tplc="5E405A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92B"/>
    <w:multiLevelType w:val="hybridMultilevel"/>
    <w:tmpl w:val="C9AE9AA2"/>
    <w:lvl w:ilvl="0" w:tplc="95D0C09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432A3D"/>
    <w:multiLevelType w:val="multilevel"/>
    <w:tmpl w:val="DCFE95AC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4">
    <w:nsid w:val="3BF72236"/>
    <w:multiLevelType w:val="hybridMultilevel"/>
    <w:tmpl w:val="317A7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515B1"/>
    <w:multiLevelType w:val="hybridMultilevel"/>
    <w:tmpl w:val="9A449D4A"/>
    <w:lvl w:ilvl="0" w:tplc="94F85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63F19"/>
    <w:multiLevelType w:val="hybridMultilevel"/>
    <w:tmpl w:val="D4CE675C"/>
    <w:lvl w:ilvl="0" w:tplc="041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7">
    <w:nsid w:val="4AF43876"/>
    <w:multiLevelType w:val="hybridMultilevel"/>
    <w:tmpl w:val="90521CE0"/>
    <w:lvl w:ilvl="0" w:tplc="15D85E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A6E2C"/>
    <w:multiLevelType w:val="multilevel"/>
    <w:tmpl w:val="68E6D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9">
    <w:nsid w:val="60515B36"/>
    <w:multiLevelType w:val="hybridMultilevel"/>
    <w:tmpl w:val="DE88B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745EB0"/>
    <w:multiLevelType w:val="hybridMultilevel"/>
    <w:tmpl w:val="B7FE235E"/>
    <w:lvl w:ilvl="0" w:tplc="11A071A2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>
    <w:nsid w:val="699A7EAD"/>
    <w:multiLevelType w:val="hybridMultilevel"/>
    <w:tmpl w:val="8AA2DBFC"/>
    <w:lvl w:ilvl="0" w:tplc="FCBC5E2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2">
    <w:nsid w:val="6B17135B"/>
    <w:multiLevelType w:val="hybridMultilevel"/>
    <w:tmpl w:val="69207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637E0B"/>
    <w:multiLevelType w:val="multilevel"/>
    <w:tmpl w:val="DCFE9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14">
    <w:nsid w:val="705842C0"/>
    <w:multiLevelType w:val="hybridMultilevel"/>
    <w:tmpl w:val="B5C24FA8"/>
    <w:lvl w:ilvl="0" w:tplc="611A7AFC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777D5554"/>
    <w:multiLevelType w:val="hybridMultilevel"/>
    <w:tmpl w:val="3BE67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2770">
      <o:colormenu v:ext="edit" fillcolor="none [665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57C5"/>
    <w:rsid w:val="00001A0B"/>
    <w:rsid w:val="00014DA0"/>
    <w:rsid w:val="000163B9"/>
    <w:rsid w:val="00017013"/>
    <w:rsid w:val="000237C6"/>
    <w:rsid w:val="00031D79"/>
    <w:rsid w:val="0003674B"/>
    <w:rsid w:val="00037349"/>
    <w:rsid w:val="00052F1B"/>
    <w:rsid w:val="00054B37"/>
    <w:rsid w:val="00055566"/>
    <w:rsid w:val="00055CA9"/>
    <w:rsid w:val="00067CD4"/>
    <w:rsid w:val="000725BC"/>
    <w:rsid w:val="00073844"/>
    <w:rsid w:val="000A0E18"/>
    <w:rsid w:val="000A1E3D"/>
    <w:rsid w:val="000A5131"/>
    <w:rsid w:val="000A698B"/>
    <w:rsid w:val="000B20EB"/>
    <w:rsid w:val="000B2951"/>
    <w:rsid w:val="000B6783"/>
    <w:rsid w:val="000C1229"/>
    <w:rsid w:val="000C727B"/>
    <w:rsid w:val="000C7801"/>
    <w:rsid w:val="000C791A"/>
    <w:rsid w:val="000D2680"/>
    <w:rsid w:val="000D44C4"/>
    <w:rsid w:val="000E0DB7"/>
    <w:rsid w:val="000E11C1"/>
    <w:rsid w:val="000E28D9"/>
    <w:rsid w:val="000E33A4"/>
    <w:rsid w:val="000E5DFB"/>
    <w:rsid w:val="000E6BCB"/>
    <w:rsid w:val="000F1B09"/>
    <w:rsid w:val="000F356B"/>
    <w:rsid w:val="000F4DF8"/>
    <w:rsid w:val="000F56CE"/>
    <w:rsid w:val="000F78BC"/>
    <w:rsid w:val="00112E7F"/>
    <w:rsid w:val="00114A85"/>
    <w:rsid w:val="00115EC8"/>
    <w:rsid w:val="001222C4"/>
    <w:rsid w:val="001236B5"/>
    <w:rsid w:val="001242B8"/>
    <w:rsid w:val="0012552E"/>
    <w:rsid w:val="0012702C"/>
    <w:rsid w:val="0012780B"/>
    <w:rsid w:val="0013041A"/>
    <w:rsid w:val="00131526"/>
    <w:rsid w:val="00132D74"/>
    <w:rsid w:val="00135C7D"/>
    <w:rsid w:val="001378D0"/>
    <w:rsid w:val="001401B1"/>
    <w:rsid w:val="00146361"/>
    <w:rsid w:val="00147A4B"/>
    <w:rsid w:val="00150237"/>
    <w:rsid w:val="001507E4"/>
    <w:rsid w:val="00153554"/>
    <w:rsid w:val="00153C3C"/>
    <w:rsid w:val="00157500"/>
    <w:rsid w:val="00157A13"/>
    <w:rsid w:val="00162E15"/>
    <w:rsid w:val="00162EF3"/>
    <w:rsid w:val="001649F1"/>
    <w:rsid w:val="0017497B"/>
    <w:rsid w:val="001756D5"/>
    <w:rsid w:val="00177C81"/>
    <w:rsid w:val="00182DE5"/>
    <w:rsid w:val="001838EB"/>
    <w:rsid w:val="0018477B"/>
    <w:rsid w:val="00185E81"/>
    <w:rsid w:val="00190910"/>
    <w:rsid w:val="001937EE"/>
    <w:rsid w:val="00194A6A"/>
    <w:rsid w:val="001A1507"/>
    <w:rsid w:val="001A34DB"/>
    <w:rsid w:val="001A57C5"/>
    <w:rsid w:val="001B524E"/>
    <w:rsid w:val="001B557F"/>
    <w:rsid w:val="001B5A5B"/>
    <w:rsid w:val="001C1735"/>
    <w:rsid w:val="001C1FBE"/>
    <w:rsid w:val="001C20CA"/>
    <w:rsid w:val="001C31A7"/>
    <w:rsid w:val="001C4ED1"/>
    <w:rsid w:val="001C54DE"/>
    <w:rsid w:val="001C677A"/>
    <w:rsid w:val="001D5572"/>
    <w:rsid w:val="001E0C78"/>
    <w:rsid w:val="001E1F35"/>
    <w:rsid w:val="001E4220"/>
    <w:rsid w:val="001E4259"/>
    <w:rsid w:val="001F0AF8"/>
    <w:rsid w:val="001F228E"/>
    <w:rsid w:val="001F419A"/>
    <w:rsid w:val="001F5E7E"/>
    <w:rsid w:val="001F6430"/>
    <w:rsid w:val="00204C11"/>
    <w:rsid w:val="002101B5"/>
    <w:rsid w:val="00210778"/>
    <w:rsid w:val="0021300C"/>
    <w:rsid w:val="00214ACE"/>
    <w:rsid w:val="00215D30"/>
    <w:rsid w:val="0021717D"/>
    <w:rsid w:val="002238BD"/>
    <w:rsid w:val="00223D49"/>
    <w:rsid w:val="002248DF"/>
    <w:rsid w:val="002275D6"/>
    <w:rsid w:val="0023036F"/>
    <w:rsid w:val="00230774"/>
    <w:rsid w:val="00231AD5"/>
    <w:rsid w:val="00235E33"/>
    <w:rsid w:val="0023667E"/>
    <w:rsid w:val="00240886"/>
    <w:rsid w:val="0024246D"/>
    <w:rsid w:val="00243FC3"/>
    <w:rsid w:val="00250B09"/>
    <w:rsid w:val="00252CA0"/>
    <w:rsid w:val="00252D69"/>
    <w:rsid w:val="00253383"/>
    <w:rsid w:val="0025530B"/>
    <w:rsid w:val="00257B53"/>
    <w:rsid w:val="00260D33"/>
    <w:rsid w:val="00264112"/>
    <w:rsid w:val="00265886"/>
    <w:rsid w:val="002726E2"/>
    <w:rsid w:val="00273760"/>
    <w:rsid w:val="00273A54"/>
    <w:rsid w:val="00273E7D"/>
    <w:rsid w:val="00273E98"/>
    <w:rsid w:val="00275169"/>
    <w:rsid w:val="00282800"/>
    <w:rsid w:val="00286E84"/>
    <w:rsid w:val="00287AE8"/>
    <w:rsid w:val="0029127C"/>
    <w:rsid w:val="00291847"/>
    <w:rsid w:val="00293CD5"/>
    <w:rsid w:val="0029424F"/>
    <w:rsid w:val="002945BD"/>
    <w:rsid w:val="00294ABE"/>
    <w:rsid w:val="002A240E"/>
    <w:rsid w:val="002B0405"/>
    <w:rsid w:val="002B2565"/>
    <w:rsid w:val="002B75EE"/>
    <w:rsid w:val="002C3926"/>
    <w:rsid w:val="002D1055"/>
    <w:rsid w:val="002D3FDE"/>
    <w:rsid w:val="002D4CA3"/>
    <w:rsid w:val="002D5DA5"/>
    <w:rsid w:val="002F0570"/>
    <w:rsid w:val="002F29F1"/>
    <w:rsid w:val="003029D0"/>
    <w:rsid w:val="00307274"/>
    <w:rsid w:val="003117DD"/>
    <w:rsid w:val="0031183D"/>
    <w:rsid w:val="00314984"/>
    <w:rsid w:val="00315DA5"/>
    <w:rsid w:val="00320F3E"/>
    <w:rsid w:val="003320E5"/>
    <w:rsid w:val="0033588E"/>
    <w:rsid w:val="00340434"/>
    <w:rsid w:val="0034366F"/>
    <w:rsid w:val="00343F33"/>
    <w:rsid w:val="00344800"/>
    <w:rsid w:val="003453DB"/>
    <w:rsid w:val="003462B2"/>
    <w:rsid w:val="0034634E"/>
    <w:rsid w:val="003500CC"/>
    <w:rsid w:val="00352F2B"/>
    <w:rsid w:val="00354214"/>
    <w:rsid w:val="00362BF6"/>
    <w:rsid w:val="003719A0"/>
    <w:rsid w:val="00375AD3"/>
    <w:rsid w:val="003761EF"/>
    <w:rsid w:val="00376EB5"/>
    <w:rsid w:val="003770D3"/>
    <w:rsid w:val="0038015B"/>
    <w:rsid w:val="00380805"/>
    <w:rsid w:val="00381FAB"/>
    <w:rsid w:val="0038329E"/>
    <w:rsid w:val="00384E61"/>
    <w:rsid w:val="00392F11"/>
    <w:rsid w:val="0039393D"/>
    <w:rsid w:val="003A5665"/>
    <w:rsid w:val="003A777F"/>
    <w:rsid w:val="003B09D2"/>
    <w:rsid w:val="003B3064"/>
    <w:rsid w:val="003B6D19"/>
    <w:rsid w:val="003B78BB"/>
    <w:rsid w:val="003C0513"/>
    <w:rsid w:val="003C3893"/>
    <w:rsid w:val="003C3EDD"/>
    <w:rsid w:val="003D60D7"/>
    <w:rsid w:val="003D7A64"/>
    <w:rsid w:val="003D7ADC"/>
    <w:rsid w:val="003E093A"/>
    <w:rsid w:val="003E4A3E"/>
    <w:rsid w:val="003E5F06"/>
    <w:rsid w:val="003E7EF0"/>
    <w:rsid w:val="00407E25"/>
    <w:rsid w:val="00415515"/>
    <w:rsid w:val="004175BF"/>
    <w:rsid w:val="00421BBE"/>
    <w:rsid w:val="0042757E"/>
    <w:rsid w:val="00430FD6"/>
    <w:rsid w:val="00433B5D"/>
    <w:rsid w:val="0043418B"/>
    <w:rsid w:val="0043600F"/>
    <w:rsid w:val="004361CA"/>
    <w:rsid w:val="004406D3"/>
    <w:rsid w:val="0044088B"/>
    <w:rsid w:val="00441259"/>
    <w:rsid w:val="004413DD"/>
    <w:rsid w:val="0044661D"/>
    <w:rsid w:val="00447508"/>
    <w:rsid w:val="004500EC"/>
    <w:rsid w:val="004605CA"/>
    <w:rsid w:val="0046138F"/>
    <w:rsid w:val="00461460"/>
    <w:rsid w:val="00467524"/>
    <w:rsid w:val="00467F8C"/>
    <w:rsid w:val="00473394"/>
    <w:rsid w:val="00473D1E"/>
    <w:rsid w:val="0047500A"/>
    <w:rsid w:val="00477B43"/>
    <w:rsid w:val="00485498"/>
    <w:rsid w:val="0048717C"/>
    <w:rsid w:val="00487AD3"/>
    <w:rsid w:val="004A2193"/>
    <w:rsid w:val="004A42B4"/>
    <w:rsid w:val="004A5ECA"/>
    <w:rsid w:val="004B13F7"/>
    <w:rsid w:val="004B46F8"/>
    <w:rsid w:val="004B659D"/>
    <w:rsid w:val="004B6D40"/>
    <w:rsid w:val="004C5782"/>
    <w:rsid w:val="004C5E5F"/>
    <w:rsid w:val="004D098B"/>
    <w:rsid w:val="004D4BC1"/>
    <w:rsid w:val="004D7977"/>
    <w:rsid w:val="004E5675"/>
    <w:rsid w:val="004E62C4"/>
    <w:rsid w:val="004F1D4B"/>
    <w:rsid w:val="004F3CDD"/>
    <w:rsid w:val="004F546D"/>
    <w:rsid w:val="004F793A"/>
    <w:rsid w:val="00503FDC"/>
    <w:rsid w:val="005107AA"/>
    <w:rsid w:val="005125C2"/>
    <w:rsid w:val="00514B15"/>
    <w:rsid w:val="00520293"/>
    <w:rsid w:val="00520C1D"/>
    <w:rsid w:val="00521590"/>
    <w:rsid w:val="00522594"/>
    <w:rsid w:val="00525BEB"/>
    <w:rsid w:val="005359E8"/>
    <w:rsid w:val="00543F96"/>
    <w:rsid w:val="00544053"/>
    <w:rsid w:val="005472E4"/>
    <w:rsid w:val="0054753D"/>
    <w:rsid w:val="00547CB1"/>
    <w:rsid w:val="005521F8"/>
    <w:rsid w:val="0055764F"/>
    <w:rsid w:val="00560426"/>
    <w:rsid w:val="00560A37"/>
    <w:rsid w:val="00560AA8"/>
    <w:rsid w:val="00563E14"/>
    <w:rsid w:val="005675B8"/>
    <w:rsid w:val="00571209"/>
    <w:rsid w:val="0057189E"/>
    <w:rsid w:val="00572BE2"/>
    <w:rsid w:val="00573CDF"/>
    <w:rsid w:val="00575A1C"/>
    <w:rsid w:val="00577D3C"/>
    <w:rsid w:val="00577EC2"/>
    <w:rsid w:val="005824CF"/>
    <w:rsid w:val="005825C6"/>
    <w:rsid w:val="00583AE1"/>
    <w:rsid w:val="00585569"/>
    <w:rsid w:val="005864F9"/>
    <w:rsid w:val="00587CE6"/>
    <w:rsid w:val="00590331"/>
    <w:rsid w:val="00591EB7"/>
    <w:rsid w:val="0059219B"/>
    <w:rsid w:val="00592E71"/>
    <w:rsid w:val="00594FF7"/>
    <w:rsid w:val="005A7900"/>
    <w:rsid w:val="005B3EB6"/>
    <w:rsid w:val="005B793D"/>
    <w:rsid w:val="005C1BA4"/>
    <w:rsid w:val="005C35B4"/>
    <w:rsid w:val="005C4DBF"/>
    <w:rsid w:val="005C5460"/>
    <w:rsid w:val="005D0141"/>
    <w:rsid w:val="005D16E9"/>
    <w:rsid w:val="005D5471"/>
    <w:rsid w:val="005E2CDF"/>
    <w:rsid w:val="005E6941"/>
    <w:rsid w:val="005E6CDC"/>
    <w:rsid w:val="005F32A3"/>
    <w:rsid w:val="005F458E"/>
    <w:rsid w:val="005F7056"/>
    <w:rsid w:val="0060002B"/>
    <w:rsid w:val="006048EB"/>
    <w:rsid w:val="006056BC"/>
    <w:rsid w:val="00610C82"/>
    <w:rsid w:val="00611B06"/>
    <w:rsid w:val="0061549D"/>
    <w:rsid w:val="00615ECA"/>
    <w:rsid w:val="0061663B"/>
    <w:rsid w:val="00616C13"/>
    <w:rsid w:val="00616EAA"/>
    <w:rsid w:val="00622CB4"/>
    <w:rsid w:val="0062379D"/>
    <w:rsid w:val="00623B3D"/>
    <w:rsid w:val="006241DC"/>
    <w:rsid w:val="00624700"/>
    <w:rsid w:val="00624FAE"/>
    <w:rsid w:val="006304DB"/>
    <w:rsid w:val="006308AC"/>
    <w:rsid w:val="0063318A"/>
    <w:rsid w:val="006341BE"/>
    <w:rsid w:val="006344D5"/>
    <w:rsid w:val="0064035E"/>
    <w:rsid w:val="00640FB8"/>
    <w:rsid w:val="00640FC5"/>
    <w:rsid w:val="00641BE9"/>
    <w:rsid w:val="00646C24"/>
    <w:rsid w:val="00653AE4"/>
    <w:rsid w:val="006546A0"/>
    <w:rsid w:val="00657FF2"/>
    <w:rsid w:val="00660D38"/>
    <w:rsid w:val="00661010"/>
    <w:rsid w:val="00661A1C"/>
    <w:rsid w:val="00661C52"/>
    <w:rsid w:val="00663523"/>
    <w:rsid w:val="00665DA2"/>
    <w:rsid w:val="0067119E"/>
    <w:rsid w:val="00671418"/>
    <w:rsid w:val="0067220C"/>
    <w:rsid w:val="00674B73"/>
    <w:rsid w:val="00675007"/>
    <w:rsid w:val="00676ABC"/>
    <w:rsid w:val="00680B1A"/>
    <w:rsid w:val="006830EA"/>
    <w:rsid w:val="006845DA"/>
    <w:rsid w:val="00691454"/>
    <w:rsid w:val="00691799"/>
    <w:rsid w:val="006929B1"/>
    <w:rsid w:val="00693C10"/>
    <w:rsid w:val="00697A28"/>
    <w:rsid w:val="006A1114"/>
    <w:rsid w:val="006A49C8"/>
    <w:rsid w:val="006A6B18"/>
    <w:rsid w:val="006B4AF4"/>
    <w:rsid w:val="006C018B"/>
    <w:rsid w:val="006C4B0F"/>
    <w:rsid w:val="006C5991"/>
    <w:rsid w:val="006C7DBC"/>
    <w:rsid w:val="006D0582"/>
    <w:rsid w:val="006D5852"/>
    <w:rsid w:val="006E15F0"/>
    <w:rsid w:val="006E209F"/>
    <w:rsid w:val="006E3A54"/>
    <w:rsid w:val="006E6294"/>
    <w:rsid w:val="006E691A"/>
    <w:rsid w:val="006F1F4B"/>
    <w:rsid w:val="006F2F66"/>
    <w:rsid w:val="006F4A02"/>
    <w:rsid w:val="006F5D7A"/>
    <w:rsid w:val="006F63D2"/>
    <w:rsid w:val="006F7723"/>
    <w:rsid w:val="007017C2"/>
    <w:rsid w:val="00702A71"/>
    <w:rsid w:val="00703167"/>
    <w:rsid w:val="00703190"/>
    <w:rsid w:val="00703968"/>
    <w:rsid w:val="00707B8C"/>
    <w:rsid w:val="007112E2"/>
    <w:rsid w:val="00713D1B"/>
    <w:rsid w:val="00721FDF"/>
    <w:rsid w:val="0073014A"/>
    <w:rsid w:val="007307EF"/>
    <w:rsid w:val="007313BD"/>
    <w:rsid w:val="007315BD"/>
    <w:rsid w:val="00732578"/>
    <w:rsid w:val="00733895"/>
    <w:rsid w:val="0073509E"/>
    <w:rsid w:val="00735D19"/>
    <w:rsid w:val="00737877"/>
    <w:rsid w:val="00737BAA"/>
    <w:rsid w:val="00747BCD"/>
    <w:rsid w:val="00751A0D"/>
    <w:rsid w:val="00755125"/>
    <w:rsid w:val="00757324"/>
    <w:rsid w:val="00757415"/>
    <w:rsid w:val="00760194"/>
    <w:rsid w:val="00761655"/>
    <w:rsid w:val="00763A82"/>
    <w:rsid w:val="00764B07"/>
    <w:rsid w:val="007725E1"/>
    <w:rsid w:val="00776474"/>
    <w:rsid w:val="007849D5"/>
    <w:rsid w:val="00784A7A"/>
    <w:rsid w:val="00785B66"/>
    <w:rsid w:val="00786E4A"/>
    <w:rsid w:val="00787D70"/>
    <w:rsid w:val="00790C87"/>
    <w:rsid w:val="00794A93"/>
    <w:rsid w:val="007A5B6B"/>
    <w:rsid w:val="007B5E34"/>
    <w:rsid w:val="007C71E3"/>
    <w:rsid w:val="007D173B"/>
    <w:rsid w:val="007D1E8C"/>
    <w:rsid w:val="007D54C0"/>
    <w:rsid w:val="007D650F"/>
    <w:rsid w:val="007E2F9E"/>
    <w:rsid w:val="007E7CB8"/>
    <w:rsid w:val="007F1DDB"/>
    <w:rsid w:val="007F2994"/>
    <w:rsid w:val="007F3CCC"/>
    <w:rsid w:val="007F5B57"/>
    <w:rsid w:val="007F60C9"/>
    <w:rsid w:val="00801527"/>
    <w:rsid w:val="00804424"/>
    <w:rsid w:val="00813E67"/>
    <w:rsid w:val="0081651B"/>
    <w:rsid w:val="00817648"/>
    <w:rsid w:val="0082208C"/>
    <w:rsid w:val="00825AF9"/>
    <w:rsid w:val="008344C3"/>
    <w:rsid w:val="00840A8C"/>
    <w:rsid w:val="008421F3"/>
    <w:rsid w:val="00842672"/>
    <w:rsid w:val="00843E61"/>
    <w:rsid w:val="00845918"/>
    <w:rsid w:val="0084633F"/>
    <w:rsid w:val="00850421"/>
    <w:rsid w:val="00852717"/>
    <w:rsid w:val="0085354F"/>
    <w:rsid w:val="008543DF"/>
    <w:rsid w:val="00856056"/>
    <w:rsid w:val="00857985"/>
    <w:rsid w:val="00864001"/>
    <w:rsid w:val="008674DF"/>
    <w:rsid w:val="00867590"/>
    <w:rsid w:val="00870330"/>
    <w:rsid w:val="0087221D"/>
    <w:rsid w:val="008725BD"/>
    <w:rsid w:val="00885450"/>
    <w:rsid w:val="00886EA6"/>
    <w:rsid w:val="0088705A"/>
    <w:rsid w:val="00887D9B"/>
    <w:rsid w:val="008907FB"/>
    <w:rsid w:val="00893840"/>
    <w:rsid w:val="008951C7"/>
    <w:rsid w:val="008A3632"/>
    <w:rsid w:val="008B0217"/>
    <w:rsid w:val="008B20AA"/>
    <w:rsid w:val="008B2E21"/>
    <w:rsid w:val="008C037F"/>
    <w:rsid w:val="008C7F58"/>
    <w:rsid w:val="008D096C"/>
    <w:rsid w:val="008D0A64"/>
    <w:rsid w:val="008D1231"/>
    <w:rsid w:val="008D16A7"/>
    <w:rsid w:val="008D1A1C"/>
    <w:rsid w:val="008D1D8F"/>
    <w:rsid w:val="008D2679"/>
    <w:rsid w:val="008E017C"/>
    <w:rsid w:val="008E7E50"/>
    <w:rsid w:val="008F04BD"/>
    <w:rsid w:val="008F362C"/>
    <w:rsid w:val="008F730E"/>
    <w:rsid w:val="00900259"/>
    <w:rsid w:val="00904308"/>
    <w:rsid w:val="00904DD3"/>
    <w:rsid w:val="00906576"/>
    <w:rsid w:val="009127BF"/>
    <w:rsid w:val="00913BBD"/>
    <w:rsid w:val="009144C9"/>
    <w:rsid w:val="00915BC5"/>
    <w:rsid w:val="00917ABF"/>
    <w:rsid w:val="009216A7"/>
    <w:rsid w:val="009224EB"/>
    <w:rsid w:val="00923D9C"/>
    <w:rsid w:val="00924A9A"/>
    <w:rsid w:val="00936B3F"/>
    <w:rsid w:val="00937AF0"/>
    <w:rsid w:val="009413CE"/>
    <w:rsid w:val="009418F3"/>
    <w:rsid w:val="00942D1E"/>
    <w:rsid w:val="009454B2"/>
    <w:rsid w:val="0094703D"/>
    <w:rsid w:val="0094725F"/>
    <w:rsid w:val="00947DA0"/>
    <w:rsid w:val="009515CC"/>
    <w:rsid w:val="00955370"/>
    <w:rsid w:val="00956EB1"/>
    <w:rsid w:val="00966F58"/>
    <w:rsid w:val="009701FD"/>
    <w:rsid w:val="0097276C"/>
    <w:rsid w:val="00980BAD"/>
    <w:rsid w:val="009929CA"/>
    <w:rsid w:val="009A184E"/>
    <w:rsid w:val="009B09CC"/>
    <w:rsid w:val="009B1389"/>
    <w:rsid w:val="009B1E7C"/>
    <w:rsid w:val="009B7672"/>
    <w:rsid w:val="009B7F74"/>
    <w:rsid w:val="009C1ED2"/>
    <w:rsid w:val="009D17E4"/>
    <w:rsid w:val="009D23A0"/>
    <w:rsid w:val="009D303C"/>
    <w:rsid w:val="009D594A"/>
    <w:rsid w:val="009D63E6"/>
    <w:rsid w:val="009D6960"/>
    <w:rsid w:val="009E713E"/>
    <w:rsid w:val="009F28FB"/>
    <w:rsid w:val="009F7090"/>
    <w:rsid w:val="00A007E7"/>
    <w:rsid w:val="00A025F4"/>
    <w:rsid w:val="00A03731"/>
    <w:rsid w:val="00A13524"/>
    <w:rsid w:val="00A13D4A"/>
    <w:rsid w:val="00A140FF"/>
    <w:rsid w:val="00A17078"/>
    <w:rsid w:val="00A23D39"/>
    <w:rsid w:val="00A24E1D"/>
    <w:rsid w:val="00A2550B"/>
    <w:rsid w:val="00A26E03"/>
    <w:rsid w:val="00A311D2"/>
    <w:rsid w:val="00A311FF"/>
    <w:rsid w:val="00A340BD"/>
    <w:rsid w:val="00A4201E"/>
    <w:rsid w:val="00A433CA"/>
    <w:rsid w:val="00A44C79"/>
    <w:rsid w:val="00A46661"/>
    <w:rsid w:val="00A46F05"/>
    <w:rsid w:val="00A53358"/>
    <w:rsid w:val="00A53BD5"/>
    <w:rsid w:val="00A616D6"/>
    <w:rsid w:val="00A629CF"/>
    <w:rsid w:val="00A6310A"/>
    <w:rsid w:val="00A64297"/>
    <w:rsid w:val="00A7066D"/>
    <w:rsid w:val="00A74534"/>
    <w:rsid w:val="00A76B68"/>
    <w:rsid w:val="00A7738E"/>
    <w:rsid w:val="00A77CC6"/>
    <w:rsid w:val="00A803D4"/>
    <w:rsid w:val="00A80E1A"/>
    <w:rsid w:val="00A8185B"/>
    <w:rsid w:val="00A83158"/>
    <w:rsid w:val="00A83623"/>
    <w:rsid w:val="00A83749"/>
    <w:rsid w:val="00A86846"/>
    <w:rsid w:val="00A91981"/>
    <w:rsid w:val="00A92FF2"/>
    <w:rsid w:val="00A966C6"/>
    <w:rsid w:val="00AA1428"/>
    <w:rsid w:val="00AA4267"/>
    <w:rsid w:val="00AB1A1D"/>
    <w:rsid w:val="00AB28E6"/>
    <w:rsid w:val="00AB600C"/>
    <w:rsid w:val="00AC24A9"/>
    <w:rsid w:val="00AD10FA"/>
    <w:rsid w:val="00AD686C"/>
    <w:rsid w:val="00AE00CC"/>
    <w:rsid w:val="00AE2AA9"/>
    <w:rsid w:val="00AE352C"/>
    <w:rsid w:val="00AE4BAF"/>
    <w:rsid w:val="00AF02B0"/>
    <w:rsid w:val="00AF618A"/>
    <w:rsid w:val="00B00216"/>
    <w:rsid w:val="00B03E75"/>
    <w:rsid w:val="00B04F1A"/>
    <w:rsid w:val="00B118D1"/>
    <w:rsid w:val="00B126B6"/>
    <w:rsid w:val="00B144B4"/>
    <w:rsid w:val="00B14E39"/>
    <w:rsid w:val="00B14F0F"/>
    <w:rsid w:val="00B17E85"/>
    <w:rsid w:val="00B20EF0"/>
    <w:rsid w:val="00B22693"/>
    <w:rsid w:val="00B228B6"/>
    <w:rsid w:val="00B23505"/>
    <w:rsid w:val="00B246DF"/>
    <w:rsid w:val="00B25823"/>
    <w:rsid w:val="00B25C4E"/>
    <w:rsid w:val="00B3222B"/>
    <w:rsid w:val="00B341F5"/>
    <w:rsid w:val="00B4084E"/>
    <w:rsid w:val="00B419C4"/>
    <w:rsid w:val="00B4226B"/>
    <w:rsid w:val="00B46FEF"/>
    <w:rsid w:val="00B47EAD"/>
    <w:rsid w:val="00B52C3D"/>
    <w:rsid w:val="00B53FDD"/>
    <w:rsid w:val="00B53FE4"/>
    <w:rsid w:val="00B55A59"/>
    <w:rsid w:val="00B55AC2"/>
    <w:rsid w:val="00B55E0C"/>
    <w:rsid w:val="00B5771A"/>
    <w:rsid w:val="00B6124A"/>
    <w:rsid w:val="00B6228A"/>
    <w:rsid w:val="00B62BEF"/>
    <w:rsid w:val="00B62DC1"/>
    <w:rsid w:val="00B705C0"/>
    <w:rsid w:val="00B72B18"/>
    <w:rsid w:val="00B736F1"/>
    <w:rsid w:val="00B7523D"/>
    <w:rsid w:val="00B83E67"/>
    <w:rsid w:val="00B84114"/>
    <w:rsid w:val="00B85059"/>
    <w:rsid w:val="00B85E58"/>
    <w:rsid w:val="00B90C0D"/>
    <w:rsid w:val="00B90FE9"/>
    <w:rsid w:val="00B95D7D"/>
    <w:rsid w:val="00BA08A4"/>
    <w:rsid w:val="00BA2192"/>
    <w:rsid w:val="00BA275F"/>
    <w:rsid w:val="00BB10DC"/>
    <w:rsid w:val="00BB17EF"/>
    <w:rsid w:val="00BB1AEA"/>
    <w:rsid w:val="00BB22D8"/>
    <w:rsid w:val="00BB2487"/>
    <w:rsid w:val="00BB45EC"/>
    <w:rsid w:val="00BB6F9A"/>
    <w:rsid w:val="00BB77AD"/>
    <w:rsid w:val="00BC1346"/>
    <w:rsid w:val="00BC3883"/>
    <w:rsid w:val="00BC47AC"/>
    <w:rsid w:val="00BC5C33"/>
    <w:rsid w:val="00BD0E0B"/>
    <w:rsid w:val="00BD3509"/>
    <w:rsid w:val="00BD6343"/>
    <w:rsid w:val="00BE08CF"/>
    <w:rsid w:val="00BE3626"/>
    <w:rsid w:val="00BE7011"/>
    <w:rsid w:val="00BE792A"/>
    <w:rsid w:val="00BE7F99"/>
    <w:rsid w:val="00BF0206"/>
    <w:rsid w:val="00BF0EB3"/>
    <w:rsid w:val="00BF0FC4"/>
    <w:rsid w:val="00BF3E64"/>
    <w:rsid w:val="00C0282E"/>
    <w:rsid w:val="00C03AC0"/>
    <w:rsid w:val="00C10885"/>
    <w:rsid w:val="00C112D8"/>
    <w:rsid w:val="00C128BB"/>
    <w:rsid w:val="00C13689"/>
    <w:rsid w:val="00C168D9"/>
    <w:rsid w:val="00C31561"/>
    <w:rsid w:val="00C31FE3"/>
    <w:rsid w:val="00C329AD"/>
    <w:rsid w:val="00C40169"/>
    <w:rsid w:val="00C41EEF"/>
    <w:rsid w:val="00C54871"/>
    <w:rsid w:val="00C611DA"/>
    <w:rsid w:val="00C65189"/>
    <w:rsid w:val="00C67F6B"/>
    <w:rsid w:val="00C7027A"/>
    <w:rsid w:val="00C7212E"/>
    <w:rsid w:val="00C73943"/>
    <w:rsid w:val="00C7631D"/>
    <w:rsid w:val="00C77DF3"/>
    <w:rsid w:val="00C81D71"/>
    <w:rsid w:val="00C83265"/>
    <w:rsid w:val="00C90952"/>
    <w:rsid w:val="00C90959"/>
    <w:rsid w:val="00C90B5D"/>
    <w:rsid w:val="00C90C1F"/>
    <w:rsid w:val="00C9479B"/>
    <w:rsid w:val="00C95FE6"/>
    <w:rsid w:val="00C97A97"/>
    <w:rsid w:val="00CA5BF4"/>
    <w:rsid w:val="00CB0441"/>
    <w:rsid w:val="00CB0FD1"/>
    <w:rsid w:val="00CB2825"/>
    <w:rsid w:val="00CB304F"/>
    <w:rsid w:val="00CB6109"/>
    <w:rsid w:val="00CC088F"/>
    <w:rsid w:val="00CC2F1F"/>
    <w:rsid w:val="00CC342B"/>
    <w:rsid w:val="00CC5E72"/>
    <w:rsid w:val="00CD0611"/>
    <w:rsid w:val="00CD083E"/>
    <w:rsid w:val="00CD7A68"/>
    <w:rsid w:val="00CE0B4E"/>
    <w:rsid w:val="00CE193F"/>
    <w:rsid w:val="00CE29CE"/>
    <w:rsid w:val="00CE49F2"/>
    <w:rsid w:val="00CE7182"/>
    <w:rsid w:val="00CF5329"/>
    <w:rsid w:val="00D003A3"/>
    <w:rsid w:val="00D00EA1"/>
    <w:rsid w:val="00D01839"/>
    <w:rsid w:val="00D074FF"/>
    <w:rsid w:val="00D10655"/>
    <w:rsid w:val="00D1161F"/>
    <w:rsid w:val="00D14134"/>
    <w:rsid w:val="00D15847"/>
    <w:rsid w:val="00D16785"/>
    <w:rsid w:val="00D26BEB"/>
    <w:rsid w:val="00D316DF"/>
    <w:rsid w:val="00D341F8"/>
    <w:rsid w:val="00D36C62"/>
    <w:rsid w:val="00D379C9"/>
    <w:rsid w:val="00D4172F"/>
    <w:rsid w:val="00D4691D"/>
    <w:rsid w:val="00D50126"/>
    <w:rsid w:val="00D50744"/>
    <w:rsid w:val="00D51111"/>
    <w:rsid w:val="00D52716"/>
    <w:rsid w:val="00D704B8"/>
    <w:rsid w:val="00D72B8D"/>
    <w:rsid w:val="00D7557F"/>
    <w:rsid w:val="00D755AA"/>
    <w:rsid w:val="00D76395"/>
    <w:rsid w:val="00D776F3"/>
    <w:rsid w:val="00D8089E"/>
    <w:rsid w:val="00D81DD2"/>
    <w:rsid w:val="00D82661"/>
    <w:rsid w:val="00D84B02"/>
    <w:rsid w:val="00D9014E"/>
    <w:rsid w:val="00D90916"/>
    <w:rsid w:val="00D92CA4"/>
    <w:rsid w:val="00DA0FA9"/>
    <w:rsid w:val="00DA31F0"/>
    <w:rsid w:val="00DA5D59"/>
    <w:rsid w:val="00DB233B"/>
    <w:rsid w:val="00DB7249"/>
    <w:rsid w:val="00DB7A49"/>
    <w:rsid w:val="00DB7C64"/>
    <w:rsid w:val="00DC011A"/>
    <w:rsid w:val="00DC1561"/>
    <w:rsid w:val="00DC32D0"/>
    <w:rsid w:val="00DC4F27"/>
    <w:rsid w:val="00DC765C"/>
    <w:rsid w:val="00DD348C"/>
    <w:rsid w:val="00DD3B37"/>
    <w:rsid w:val="00DD4148"/>
    <w:rsid w:val="00DD43FE"/>
    <w:rsid w:val="00DD5FB6"/>
    <w:rsid w:val="00DE10E8"/>
    <w:rsid w:val="00DE329C"/>
    <w:rsid w:val="00DF499B"/>
    <w:rsid w:val="00DF565D"/>
    <w:rsid w:val="00DF6037"/>
    <w:rsid w:val="00DF613F"/>
    <w:rsid w:val="00E00103"/>
    <w:rsid w:val="00E01D52"/>
    <w:rsid w:val="00E21671"/>
    <w:rsid w:val="00E21E8B"/>
    <w:rsid w:val="00E2338B"/>
    <w:rsid w:val="00E24E59"/>
    <w:rsid w:val="00E26A4D"/>
    <w:rsid w:val="00E27263"/>
    <w:rsid w:val="00E27284"/>
    <w:rsid w:val="00E32E82"/>
    <w:rsid w:val="00E32F33"/>
    <w:rsid w:val="00E33469"/>
    <w:rsid w:val="00E36F0F"/>
    <w:rsid w:val="00E37BF8"/>
    <w:rsid w:val="00E403D1"/>
    <w:rsid w:val="00E439F7"/>
    <w:rsid w:val="00E447F9"/>
    <w:rsid w:val="00E5244C"/>
    <w:rsid w:val="00E5760F"/>
    <w:rsid w:val="00E62F3C"/>
    <w:rsid w:val="00E6435E"/>
    <w:rsid w:val="00E65A1A"/>
    <w:rsid w:val="00E65D3E"/>
    <w:rsid w:val="00E70345"/>
    <w:rsid w:val="00E70D2F"/>
    <w:rsid w:val="00E712A2"/>
    <w:rsid w:val="00E715C9"/>
    <w:rsid w:val="00E719E6"/>
    <w:rsid w:val="00E71E0A"/>
    <w:rsid w:val="00E721D4"/>
    <w:rsid w:val="00E72B1A"/>
    <w:rsid w:val="00E72B8C"/>
    <w:rsid w:val="00E7793F"/>
    <w:rsid w:val="00E81A01"/>
    <w:rsid w:val="00E822E4"/>
    <w:rsid w:val="00E8328C"/>
    <w:rsid w:val="00E83389"/>
    <w:rsid w:val="00E85338"/>
    <w:rsid w:val="00E8583B"/>
    <w:rsid w:val="00E86034"/>
    <w:rsid w:val="00E86619"/>
    <w:rsid w:val="00E86E0A"/>
    <w:rsid w:val="00E945EE"/>
    <w:rsid w:val="00EA627E"/>
    <w:rsid w:val="00EB29DD"/>
    <w:rsid w:val="00EB34FD"/>
    <w:rsid w:val="00EB4645"/>
    <w:rsid w:val="00EB5A51"/>
    <w:rsid w:val="00EB5ECE"/>
    <w:rsid w:val="00EB60DC"/>
    <w:rsid w:val="00EC080B"/>
    <w:rsid w:val="00EC4669"/>
    <w:rsid w:val="00EC6616"/>
    <w:rsid w:val="00EC7AE9"/>
    <w:rsid w:val="00ED2609"/>
    <w:rsid w:val="00ED2A67"/>
    <w:rsid w:val="00ED447B"/>
    <w:rsid w:val="00ED4DC3"/>
    <w:rsid w:val="00ED5558"/>
    <w:rsid w:val="00ED6976"/>
    <w:rsid w:val="00EE22BC"/>
    <w:rsid w:val="00EE485D"/>
    <w:rsid w:val="00EE5E45"/>
    <w:rsid w:val="00EE6DEA"/>
    <w:rsid w:val="00EF195C"/>
    <w:rsid w:val="00EF3891"/>
    <w:rsid w:val="00EF6ABA"/>
    <w:rsid w:val="00F021BA"/>
    <w:rsid w:val="00F02E8D"/>
    <w:rsid w:val="00F04783"/>
    <w:rsid w:val="00F054A0"/>
    <w:rsid w:val="00F077B6"/>
    <w:rsid w:val="00F11C0E"/>
    <w:rsid w:val="00F14923"/>
    <w:rsid w:val="00F16E44"/>
    <w:rsid w:val="00F17B59"/>
    <w:rsid w:val="00F25707"/>
    <w:rsid w:val="00F259BB"/>
    <w:rsid w:val="00F345AD"/>
    <w:rsid w:val="00F365F0"/>
    <w:rsid w:val="00F40FD8"/>
    <w:rsid w:val="00F41FE2"/>
    <w:rsid w:val="00F42B13"/>
    <w:rsid w:val="00F437C3"/>
    <w:rsid w:val="00F5227B"/>
    <w:rsid w:val="00F523EA"/>
    <w:rsid w:val="00F5535E"/>
    <w:rsid w:val="00F561B8"/>
    <w:rsid w:val="00F60DF4"/>
    <w:rsid w:val="00F656B4"/>
    <w:rsid w:val="00F67ACF"/>
    <w:rsid w:val="00F7092F"/>
    <w:rsid w:val="00F74E17"/>
    <w:rsid w:val="00F75981"/>
    <w:rsid w:val="00F77020"/>
    <w:rsid w:val="00F82A5C"/>
    <w:rsid w:val="00F87880"/>
    <w:rsid w:val="00F90C5F"/>
    <w:rsid w:val="00FA00A7"/>
    <w:rsid w:val="00FA00FD"/>
    <w:rsid w:val="00FA56DA"/>
    <w:rsid w:val="00FA67A6"/>
    <w:rsid w:val="00FB1904"/>
    <w:rsid w:val="00FB1A2E"/>
    <w:rsid w:val="00FB212C"/>
    <w:rsid w:val="00FC0CE4"/>
    <w:rsid w:val="00FC1B2E"/>
    <w:rsid w:val="00FC7590"/>
    <w:rsid w:val="00FD2A1D"/>
    <w:rsid w:val="00FD390B"/>
    <w:rsid w:val="00FD3B1F"/>
    <w:rsid w:val="00FD6860"/>
    <w:rsid w:val="00FE1F31"/>
    <w:rsid w:val="00FE26AE"/>
    <w:rsid w:val="00FE2A1D"/>
    <w:rsid w:val="00FE2DC6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665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5D"/>
  </w:style>
  <w:style w:type="paragraph" w:styleId="1">
    <w:name w:val="heading 1"/>
    <w:basedOn w:val="a"/>
    <w:next w:val="a"/>
    <w:link w:val="10"/>
    <w:uiPriority w:val="9"/>
    <w:qFormat/>
    <w:rsid w:val="001A5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7C5"/>
  </w:style>
  <w:style w:type="paragraph" w:styleId="a5">
    <w:name w:val="footer"/>
    <w:basedOn w:val="a"/>
    <w:link w:val="a6"/>
    <w:uiPriority w:val="99"/>
    <w:unhideWhenUsed/>
    <w:rsid w:val="001A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7C5"/>
  </w:style>
  <w:style w:type="character" w:customStyle="1" w:styleId="10">
    <w:name w:val="Заголовок 1 Знак"/>
    <w:basedOn w:val="a0"/>
    <w:link w:val="1"/>
    <w:uiPriority w:val="9"/>
    <w:rsid w:val="001A5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7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91847"/>
    <w:pPr>
      <w:ind w:left="720"/>
      <w:contextualSpacing/>
    </w:pPr>
  </w:style>
  <w:style w:type="table" w:styleId="-3">
    <w:name w:val="Light Shading Accent 3"/>
    <w:basedOn w:val="a1"/>
    <w:uiPriority w:val="60"/>
    <w:rsid w:val="0029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918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Body Text"/>
    <w:basedOn w:val="a"/>
    <w:link w:val="ac"/>
    <w:rsid w:val="00DC156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c">
    <w:name w:val="Основной текст Знак"/>
    <w:basedOn w:val="a0"/>
    <w:link w:val="ab"/>
    <w:rsid w:val="00DC1561"/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caption"/>
    <w:basedOn w:val="a"/>
    <w:next w:val="a"/>
    <w:uiPriority w:val="35"/>
    <w:unhideWhenUsed/>
    <w:qFormat/>
    <w:rsid w:val="00E832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E8328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328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8328C"/>
    <w:rPr>
      <w:vertAlign w:val="superscript"/>
    </w:rPr>
  </w:style>
  <w:style w:type="paragraph" w:styleId="af1">
    <w:name w:val="No Spacing"/>
    <w:link w:val="af2"/>
    <w:uiPriority w:val="1"/>
    <w:qFormat/>
    <w:rsid w:val="00856056"/>
    <w:pPr>
      <w:spacing w:after="0" w:line="240" w:lineRule="auto"/>
    </w:pPr>
    <w:rPr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56056"/>
    <w:rPr>
      <w:lang w:eastAsia="en-US"/>
    </w:rPr>
  </w:style>
  <w:style w:type="table" w:styleId="-2">
    <w:name w:val="Light Shading Accent 2"/>
    <w:basedOn w:val="a1"/>
    <w:uiPriority w:val="60"/>
    <w:rsid w:val="00A46F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f3">
    <w:name w:val="Hyperlink"/>
    <w:basedOn w:val="a0"/>
    <w:uiPriority w:val="99"/>
    <w:unhideWhenUsed/>
    <w:rsid w:val="00703167"/>
    <w:rPr>
      <w:color w:val="0000FF" w:themeColor="hyperlink"/>
      <w:u w:val="single"/>
    </w:rPr>
  </w:style>
  <w:style w:type="paragraph" w:customStyle="1" w:styleId="Default">
    <w:name w:val="Default"/>
    <w:rsid w:val="00B14E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AT-IBM-02\users\FIN\318\!!!_&#1048;&#1053;&#1042;&#1045;&#1057;&#1058;&#1048;&#1062;&#1048;&#1048;\&#1047;&#1040;&#1055;&#1048;&#1057;&#1050;&#1048;\&#1048;&#1085;&#1074;&#1077;&#1089;&#1090;%20&#1076;&#1077;&#1103;&#1090;&#1077;&#1083;&#1100;&#1085;&#1086;&#1089;&#1090;&#1100;\&#1044;&#1072;&#1085;&#1085;&#1099;&#1077;%20&#1076;&#1083;&#1103;%20&#1079;&#1072;&#1087;&#1080;&#1089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AT-IBM-02\users\FIN\318\!!!_&#1048;&#1053;&#1042;&#1045;&#1057;&#1058;&#1048;&#1062;&#1048;&#1048;\&#1047;&#1040;&#1055;&#1048;&#1057;&#1050;&#1048;\&#1048;&#1085;&#1074;&#1077;&#1089;&#1090;%20&#1076;&#1077;&#1103;&#1090;&#1077;&#1083;&#1100;&#1085;&#1086;&#1089;&#1090;&#1100;\&#1044;&#1072;&#1085;&#1085;&#1099;&#1077;%20&#1076;&#1083;&#1103;%20&#1079;&#1072;&#1087;&#1080;&#1089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chartUserShapes" Target="../drawings/drawing1.xml"/><Relationship Id="rId5" Type="http://schemas.openxmlformats.org/officeDocument/2006/relationships/oleObject" Target="file:///\\STAT-IBM-02\users\FIN\318\!!!_&#1048;&#1053;&#1042;&#1045;&#1057;&#1058;&#1048;&#1062;&#1048;&#1048;\&#1047;&#1040;&#1055;&#1048;&#1057;&#1050;&#1048;\&#1048;&#1085;&#1074;&#1077;&#1089;&#1090;%20&#1076;&#1077;&#1103;&#1090;&#1077;&#1083;&#1100;&#1085;&#1086;&#1089;&#1090;&#1100;\&#1044;&#1072;&#1085;&#1085;&#1099;&#1077;%20&#1076;&#1083;&#1103;%20&#1079;&#1072;&#1087;&#1080;&#1089;&#1082;&#1080;.xlsx" TargetMode="External"/><Relationship Id="rId4" Type="http://schemas.openxmlformats.org/officeDocument/2006/relationships/image" Target="../media/image5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7" Type="http://schemas.openxmlformats.org/officeDocument/2006/relationships/chartUserShapes" Target="../drawings/drawing2.xml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oleObject" Target="file:///\\STAT-IBM-02\users\FIN\318\!!!_&#1048;&#1053;&#1042;&#1045;&#1057;&#1058;&#1048;&#1062;&#1048;&#1048;\&#1047;&#1040;&#1055;&#1048;&#1057;&#1050;&#1048;\&#1048;&#1085;&#1074;&#1077;&#1089;&#1090;%20&#1076;&#1077;&#1103;&#1090;&#1077;&#1083;&#1100;&#1085;&#1086;&#1089;&#1090;&#1100;\&#1044;&#1072;&#1085;&#1085;&#1099;&#1077;%20&#1076;&#1083;&#1103;%20&#1079;&#1072;&#1087;&#1080;&#1089;&#1082;&#1080;.xlsx" TargetMode="External"/><Relationship Id="rId5" Type="http://schemas.openxmlformats.org/officeDocument/2006/relationships/image" Target="../media/image5.jpeg"/><Relationship Id="rId4" Type="http://schemas.openxmlformats.org/officeDocument/2006/relationships/image" Target="../media/image6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AT-IBM-02\users\FIN\318\!!!_&#1048;&#1053;&#1042;&#1045;&#1057;&#1058;&#1048;&#1062;&#1048;&#1048;\&#1047;&#1040;&#1055;&#1048;&#1057;&#1050;&#1048;\&#1048;&#1085;&#1074;&#1077;&#1089;&#1090;%20&#1076;&#1077;&#1103;&#1090;&#1077;&#1083;&#1100;&#1085;&#1086;&#1089;&#1090;&#1100;\&#1044;&#1072;&#1085;&#1085;&#1099;&#1077;%20&#1076;&#1083;&#1103;%20&#1079;&#1072;&#1087;&#1080;&#1089;&#1082;&#108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AT-IBM-02\users\FIN\318\!!!_&#1048;&#1053;&#1042;&#1045;&#1057;&#1058;&#1048;&#1062;&#1048;&#1048;\&#1047;&#1040;&#1055;&#1048;&#1057;&#1050;&#1048;\&#1048;&#1085;&#1074;&#1077;&#1089;&#1090;%20&#1076;&#1077;&#1103;&#1090;&#1077;&#1083;&#1100;&#1085;&#1086;&#1089;&#1090;&#1100;\&#1044;&#1072;&#1085;&#1085;&#1099;&#1077;%20&#1076;&#1083;&#1103;%20&#1079;&#1072;&#1087;&#1080;&#1089;&#1082;&#1080;.xlsx" TargetMode="External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Лист2!$A$22</c:f>
              <c:strCache>
                <c:ptCount val="1"/>
                <c:pt idx="0">
                  <c:v>Валовой региональный продукт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showVal val="1"/>
          </c:dLbls>
          <c:cat>
            <c:numRef>
              <c:f>Лист2!$B$21:$F$21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Лист2!$B$22:$F$22</c:f>
              <c:numCache>
                <c:formatCode>#,##0</c:formatCode>
                <c:ptCount val="5"/>
                <c:pt idx="0">
                  <c:v>570285</c:v>
                </c:pt>
                <c:pt idx="1">
                  <c:v>658140</c:v>
                </c:pt>
                <c:pt idx="2">
                  <c:v>747601.71437923645</c:v>
                </c:pt>
                <c:pt idx="3">
                  <c:v>862694.55419974239</c:v>
                </c:pt>
                <c:pt idx="4">
                  <c:v>916578.61946009437</c:v>
                </c:pt>
              </c:numCache>
            </c:numRef>
          </c:val>
        </c:ser>
        <c:ser>
          <c:idx val="1"/>
          <c:order val="1"/>
          <c:tx>
            <c:strRef>
              <c:f>Лист2!$A$23</c:f>
              <c:strCache>
                <c:ptCount val="1"/>
                <c:pt idx="0">
                  <c:v>Инвестиции в основной капитал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dLbl>
              <c:idx val="0"/>
              <c:layout>
                <c:manualLayout>
                  <c:x val="1.3968952894046139E-2"/>
                  <c:y val="8.7431693989071246E-3"/>
                </c:manualLayout>
              </c:layout>
              <c:showVal val="1"/>
            </c:dLbl>
            <c:dLbl>
              <c:idx val="1"/>
              <c:layout>
                <c:manualLayout>
                  <c:x val="1.6522482387070259E-2"/>
                  <c:y val="1.7486338797814492E-2"/>
                </c:manualLayout>
              </c:layout>
              <c:showVal val="1"/>
            </c:dLbl>
            <c:dLbl>
              <c:idx val="2"/>
              <c:layout>
                <c:manualLayout>
                  <c:x val="1.8535191324768829E-2"/>
                  <c:y val="1.7486338797814492E-2"/>
                </c:manualLayout>
              </c:layout>
              <c:showVal val="1"/>
            </c:dLbl>
            <c:dLbl>
              <c:idx val="3"/>
              <c:layout>
                <c:manualLayout>
                  <c:x val="1.4239190495924838E-2"/>
                  <c:y val="1.7486338797814492E-2"/>
                </c:manualLayout>
              </c:layout>
              <c:showVal val="1"/>
            </c:dLbl>
            <c:dLbl>
              <c:idx val="4"/>
              <c:layout>
                <c:manualLayout>
                  <c:x val="1.3698715292167719E-2"/>
                  <c:y val="1.3114409879092983E-2"/>
                </c:manualLayout>
              </c:layout>
              <c:showVal val="1"/>
            </c:dLbl>
            <c:showVal val="1"/>
          </c:dLbls>
          <c:cat>
            <c:numRef>
              <c:f>Лист2!$B$21:$F$21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Лист2!$B$23:$F$23</c:f>
              <c:numCache>
                <c:formatCode>#,##0</c:formatCode>
                <c:ptCount val="5"/>
                <c:pt idx="0">
                  <c:v>193947.07800000001</c:v>
                </c:pt>
                <c:pt idx="1">
                  <c:v>181171.56599999999</c:v>
                </c:pt>
                <c:pt idx="2">
                  <c:v>198032.255</c:v>
                </c:pt>
                <c:pt idx="3">
                  <c:v>275576.03400000022</c:v>
                </c:pt>
                <c:pt idx="4">
                  <c:v>386790.02100000001</c:v>
                </c:pt>
              </c:numCache>
            </c:numRef>
          </c:val>
        </c:ser>
        <c:axId val="150195584"/>
        <c:axId val="150743680"/>
      </c:barChart>
      <c:lineChart>
        <c:grouping val="standard"/>
        <c:ser>
          <c:idx val="2"/>
          <c:order val="2"/>
          <c:tx>
            <c:strRef>
              <c:f>Лист2!$A$24</c:f>
              <c:strCache>
                <c:ptCount val="1"/>
                <c:pt idx="0">
                  <c:v>Доля инвестиций в основной капитал в объеме ВРП, %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circle"/>
            <c:size val="25"/>
            <c:spPr>
              <a:solidFill>
                <a:schemeClr val="bg1"/>
              </a:solidFill>
              <a:ln>
                <a:solidFill>
                  <a:srgbClr val="7030A0"/>
                </a:solidFill>
              </a:ln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marker>
          <c:dLbls>
            <c:dLbl>
              <c:idx val="0"/>
              <c:layout>
                <c:manualLayout>
                  <c:x val="-6.0277835336372397E-2"/>
                  <c:y val="-4.3715846994535814E-3"/>
                </c:manualLayout>
              </c:layout>
              <c:showVal val="1"/>
            </c:dLbl>
            <c:dLbl>
              <c:idx val="1"/>
              <c:layout>
                <c:manualLayout>
                  <c:x val="-5.9693500483492187E-2"/>
                  <c:y val="-4.3719289187212533E-3"/>
                </c:manualLayout>
              </c:layout>
              <c:showVal val="1"/>
            </c:dLbl>
            <c:dLbl>
              <c:idx val="2"/>
              <c:layout>
                <c:manualLayout>
                  <c:x val="-6.1796102541976934E-2"/>
                  <c:y val="-8.7431693989070726E-3"/>
                </c:manualLayout>
              </c:layout>
              <c:showVal val="1"/>
            </c:dLbl>
            <c:dLbl>
              <c:idx val="3"/>
              <c:layout>
                <c:manualLayout>
                  <c:x val="-6.1796102541976934E-2"/>
                  <c:y val="-4.6304375887440434E-3"/>
                </c:manualLayout>
              </c:layout>
              <c:showVal val="1"/>
            </c:dLbl>
            <c:dLbl>
              <c:idx val="4"/>
              <c:layout>
                <c:manualLayout>
                  <c:x val="-5.901826484018409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Лист2!$B$21:$F$21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Лист2!$B$24:$F$24</c:f>
              <c:numCache>
                <c:formatCode>0.0</c:formatCode>
                <c:ptCount val="5"/>
                <c:pt idx="0">
                  <c:v>34.008798758515482</c:v>
                </c:pt>
                <c:pt idx="1">
                  <c:v>27.527815662321085</c:v>
                </c:pt>
                <c:pt idx="2">
                  <c:v>26.489004932851422</c:v>
                </c:pt>
                <c:pt idx="3">
                  <c:v>31.943638992323013</c:v>
                </c:pt>
                <c:pt idx="4">
                  <c:v>42.199328326886238</c:v>
                </c:pt>
              </c:numCache>
            </c:numRef>
          </c:val>
        </c:ser>
        <c:marker val="1"/>
        <c:axId val="151073536"/>
        <c:axId val="150896000"/>
      </c:lineChart>
      <c:catAx>
        <c:axId val="150195584"/>
        <c:scaling>
          <c:orientation val="minMax"/>
        </c:scaling>
        <c:axPos val="b"/>
        <c:numFmt formatCode="General" sourceLinked="1"/>
        <c:tickLblPos val="nextTo"/>
        <c:crossAx val="150743680"/>
        <c:crosses val="autoZero"/>
        <c:auto val="1"/>
        <c:lblAlgn val="ctr"/>
        <c:lblOffset val="100"/>
      </c:catAx>
      <c:valAx>
        <c:axId val="150743680"/>
        <c:scaling>
          <c:orientation val="minMax"/>
        </c:scaling>
        <c:axPos val="l"/>
        <c:numFmt formatCode="#,##0" sourceLinked="1"/>
        <c:tickLblPos val="nextTo"/>
        <c:crossAx val="150195584"/>
        <c:crosses val="autoZero"/>
        <c:crossBetween val="between"/>
      </c:valAx>
      <c:valAx>
        <c:axId val="150896000"/>
        <c:scaling>
          <c:orientation val="minMax"/>
          <c:max val="70"/>
          <c:min val="0"/>
        </c:scaling>
        <c:axPos val="r"/>
        <c:numFmt formatCode="0.0" sourceLinked="1"/>
        <c:tickLblPos val="nextTo"/>
        <c:crossAx val="151073536"/>
        <c:crosses val="max"/>
        <c:crossBetween val="between"/>
      </c:valAx>
      <c:catAx>
        <c:axId val="151073536"/>
        <c:scaling>
          <c:orientation val="minMax"/>
        </c:scaling>
        <c:delete val="1"/>
        <c:axPos val="b"/>
        <c:numFmt formatCode="General" sourceLinked="1"/>
        <c:tickLblPos val="nextTo"/>
        <c:crossAx val="150896000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66885389326334"/>
          <c:y val="5.1400554097404488E-2"/>
          <c:w val="0.84977559055119489"/>
          <c:h val="0.57331943263190421"/>
        </c:manualLayout>
      </c:layout>
      <c:barChart>
        <c:barDir val="col"/>
        <c:grouping val="stacked"/>
        <c:ser>
          <c:idx val="0"/>
          <c:order val="0"/>
          <c:tx>
            <c:strRef>
              <c:f>'форм собс'!$A$13</c:f>
              <c:strCache>
                <c:ptCount val="1"/>
                <c:pt idx="0">
                  <c:v>государственная и муниципальная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'форм собс'!$B$12:$G$12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'форм собс'!$B$13:$G$13</c:f>
              <c:numCache>
                <c:formatCode>0.0</c:formatCode>
                <c:ptCount val="6"/>
                <c:pt idx="0">
                  <c:v>23.058985193888905</c:v>
                </c:pt>
                <c:pt idx="1">
                  <c:v>23.082075693930889</c:v>
                </c:pt>
                <c:pt idx="2">
                  <c:v>16.712860235823687</c:v>
                </c:pt>
                <c:pt idx="3">
                  <c:v>14.39987157954382</c:v>
                </c:pt>
                <c:pt idx="4">
                  <c:v>8.3949544292922695</c:v>
                </c:pt>
                <c:pt idx="5">
                  <c:v>7.7704205075109289</c:v>
                </c:pt>
              </c:numCache>
            </c:numRef>
          </c:val>
        </c:ser>
        <c:ser>
          <c:idx val="2"/>
          <c:order val="1"/>
          <c:tx>
            <c:strRef>
              <c:f>'форм собс'!$A$14</c:f>
              <c:strCache>
                <c:ptCount val="1"/>
                <c:pt idx="0">
                  <c:v>частная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'форм собс'!$B$12:$G$12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'форм собс'!$B$14:$G$14</c:f>
              <c:numCache>
                <c:formatCode>0.0</c:formatCode>
                <c:ptCount val="6"/>
                <c:pt idx="0">
                  <c:v>49.514270073199974</c:v>
                </c:pt>
                <c:pt idx="1">
                  <c:v>52.172840963355135</c:v>
                </c:pt>
                <c:pt idx="2">
                  <c:v>57.384499812921888</c:v>
                </c:pt>
                <c:pt idx="3">
                  <c:v>60.583864488012466</c:v>
                </c:pt>
                <c:pt idx="4">
                  <c:v>67.673877243073534</c:v>
                </c:pt>
                <c:pt idx="5">
                  <c:v>71.174627114247031</c:v>
                </c:pt>
              </c:numCache>
            </c:numRef>
          </c:val>
        </c:ser>
        <c:ser>
          <c:idx val="3"/>
          <c:order val="2"/>
          <c:tx>
            <c:strRef>
              <c:f>'форм собс'!$A$15</c:f>
              <c:strCache>
                <c:ptCount val="1"/>
                <c:pt idx="0">
                  <c:v>смешанная российская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'форм собс'!$B$12:$G$12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'форм собс'!$B$15:$G$15</c:f>
              <c:numCache>
                <c:formatCode>0.0</c:formatCode>
                <c:ptCount val="6"/>
                <c:pt idx="0">
                  <c:v>25.521509017011329</c:v>
                </c:pt>
                <c:pt idx="1">
                  <c:v>23.833544056245557</c:v>
                </c:pt>
                <c:pt idx="2">
                  <c:v>19.169538820835019</c:v>
                </c:pt>
                <c:pt idx="3">
                  <c:v>13.277217713351661</c:v>
                </c:pt>
                <c:pt idx="4">
                  <c:v>9.063527261992105</c:v>
                </c:pt>
                <c:pt idx="5">
                  <c:v>10.36961179219095</c:v>
                </c:pt>
              </c:numCache>
            </c:numRef>
          </c:val>
        </c:ser>
        <c:ser>
          <c:idx val="6"/>
          <c:order val="3"/>
          <c:tx>
            <c:strRef>
              <c:f>'форм собс'!$A$16</c:f>
              <c:strCache>
                <c:ptCount val="1"/>
                <c:pt idx="0">
                  <c:v>иностранная и совместная российская и иностранная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dLbl>
              <c:idx val="0"/>
              <c:layout>
                <c:manualLayout>
                  <c:x val="0"/>
                  <c:y val="-2.4390243902439025E-2"/>
                </c:manualLayout>
              </c:layout>
              <c:showVal val="1"/>
            </c:dLbl>
            <c:dLbl>
              <c:idx val="1"/>
              <c:layout>
                <c:manualLayout>
                  <c:x val="-1.6824819974426638E-7"/>
                  <c:y val="-2.032520325203252E-2"/>
                </c:manualLayout>
              </c:layout>
              <c:showVal val="1"/>
            </c:dLbl>
            <c:dLbl>
              <c:idx val="2"/>
              <c:layout>
                <c:manualLayout>
                  <c:x val="-2.136752136752137E-3"/>
                  <c:y val="-4.0650406504064845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'форм собс'!$B$12:$G$12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'форм собс'!$B$16:$G$16</c:f>
              <c:numCache>
                <c:formatCode>0.0</c:formatCode>
                <c:ptCount val="6"/>
                <c:pt idx="0">
                  <c:v>1.8619563837924864</c:v>
                </c:pt>
                <c:pt idx="1">
                  <c:v>0.82464540820936794</c:v>
                </c:pt>
                <c:pt idx="2">
                  <c:v>6.5089033097158842</c:v>
                </c:pt>
                <c:pt idx="3">
                  <c:v>11.444217968533465</c:v>
                </c:pt>
                <c:pt idx="4">
                  <c:v>14.139436136073456</c:v>
                </c:pt>
                <c:pt idx="5">
                  <c:v>10.651071706352948</c:v>
                </c:pt>
              </c:numCache>
            </c:numRef>
          </c:val>
        </c:ser>
        <c:overlap val="100"/>
        <c:axId val="158198016"/>
        <c:axId val="159765248"/>
      </c:barChart>
      <c:catAx>
        <c:axId val="158198016"/>
        <c:scaling>
          <c:orientation val="minMax"/>
        </c:scaling>
        <c:axPos val="b"/>
        <c:numFmt formatCode="General" sourceLinked="1"/>
        <c:tickLblPos val="nextTo"/>
        <c:crossAx val="159765248"/>
        <c:crosses val="autoZero"/>
        <c:auto val="1"/>
        <c:lblAlgn val="ctr"/>
        <c:lblOffset val="100"/>
      </c:catAx>
      <c:valAx>
        <c:axId val="159765248"/>
        <c:scaling>
          <c:orientation val="minMax"/>
          <c:max val="100"/>
        </c:scaling>
        <c:axPos val="l"/>
        <c:numFmt formatCode="0.0" sourceLinked="1"/>
        <c:tickLblPos val="nextTo"/>
        <c:crossAx val="158198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5140131873759675"/>
          <c:w val="1"/>
          <c:h val="0.22991211464420624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9218106995884775E-2"/>
          <c:y val="0.24501532469731688"/>
          <c:w val="0.94156378600822832"/>
          <c:h val="0.48134789602912537"/>
        </c:manualLayout>
      </c:layout>
      <c:pie3DChart>
        <c:varyColors val="1"/>
        <c:ser>
          <c:idx val="0"/>
          <c:order val="0"/>
          <c:tx>
            <c:strRef>
              <c:f>'по видам ОФ'!$H$2</c:f>
              <c:strCache>
                <c:ptCount val="1"/>
                <c:pt idx="0">
                  <c:v>2013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explosion val="25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2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3"/>
            <c:spPr>
              <a:blipFill dpi="0" rotWithShape="1">
                <a:blip xmlns:r="http://schemas.openxmlformats.org/officeDocument/2006/relationships" r:embed="rId4"/>
                <a:srcRect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cat>
            <c:strRef>
              <c:f>'по видам ОФ'!$G$3:$G$6</c:f>
              <c:strCache>
                <c:ptCount val="4"/>
                <c:pt idx="0">
                  <c:v>жилища</c:v>
                </c:pt>
                <c:pt idx="1">
                  <c:v>здания (кроме жилых) и сооружения</c:v>
                </c:pt>
                <c:pt idx="2">
                  <c:v>машины, оборудование, транспортные средства, хозяйственный инвентарь</c:v>
                </c:pt>
                <c:pt idx="3">
                  <c:v>прочие</c:v>
                </c:pt>
              </c:strCache>
            </c:strRef>
          </c:cat>
          <c:val>
            <c:numRef>
              <c:f>'по видам ОФ'!$H$3:$H$6</c:f>
              <c:numCache>
                <c:formatCode>0.0</c:formatCode>
                <c:ptCount val="4"/>
                <c:pt idx="0">
                  <c:v>7.8299292552373485</c:v>
                </c:pt>
                <c:pt idx="1">
                  <c:v>53.641808926866105</c:v>
                </c:pt>
                <c:pt idx="2">
                  <c:v>30.936133515762222</c:v>
                </c:pt>
                <c:pt idx="3">
                  <c:v>7.5921283021340491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5"/>
  <c:userShapes r:id="rId6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0215053763440857E-2"/>
          <c:y val="0.2080297193620029"/>
          <c:w val="0.91397849462365777"/>
          <c:h val="0.49263137492428832"/>
        </c:manualLayout>
      </c:layout>
      <c:pie3DChart>
        <c:varyColors val="1"/>
        <c:ser>
          <c:idx val="0"/>
          <c:order val="0"/>
          <c:tx>
            <c:strRef>
              <c:f>'по видам ОФ'!$H$9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explosion val="25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2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3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4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cat>
            <c:strRef>
              <c:f>'по видам ОФ'!$G$10:$G$14</c:f>
              <c:strCache>
                <c:ptCount val="5"/>
                <c:pt idx="0">
                  <c:v>жилые здания и помещения</c:v>
                </c:pt>
                <c:pt idx="1">
                  <c:v>здания (кроме жилых) и сооружения, расходы на улучшение земель</c:v>
                </c:pt>
                <c:pt idx="2">
                  <c:v>машины и оборудование,включая хозяйственный инвентарь, и другие объекты</c:v>
                </c:pt>
                <c:pt idx="3">
                  <c:v>объекты интеллектуальной собственности</c:v>
                </c:pt>
                <c:pt idx="4">
                  <c:v>прочие инвестиции</c:v>
                </c:pt>
              </c:strCache>
            </c:strRef>
          </c:cat>
          <c:val>
            <c:numRef>
              <c:f>'по видам ОФ'!$H$10:$H$14</c:f>
              <c:numCache>
                <c:formatCode>0.0</c:formatCode>
                <c:ptCount val="5"/>
                <c:pt idx="0">
                  <c:v>6.9399902440403594</c:v>
                </c:pt>
                <c:pt idx="1">
                  <c:v>62.094969325237926</c:v>
                </c:pt>
                <c:pt idx="2">
                  <c:v>25.318152465024635</c:v>
                </c:pt>
                <c:pt idx="3">
                  <c:v>2.7735439082991253</c:v>
                </c:pt>
                <c:pt idx="4">
                  <c:v>2.8733443052742778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6"/>
  <c:userShapes r:id="rId7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970407049634373"/>
          <c:y val="4.7752772838879534E-2"/>
          <c:w val="0.86509547131352182"/>
          <c:h val="0.64698162729660036"/>
        </c:manualLayout>
      </c:layout>
      <c:barChart>
        <c:barDir val="col"/>
        <c:grouping val="stacked"/>
        <c:ser>
          <c:idx val="0"/>
          <c:order val="0"/>
          <c:tx>
            <c:strRef>
              <c:f>бюджет!$A$6</c:f>
              <c:strCache>
                <c:ptCount val="1"/>
                <c:pt idx="0">
                  <c:v>из федерального бюджета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cat>
            <c:numRef>
              <c:f>бюджет!$B$5:$G$5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бюджет!$B$6:$G$6</c:f>
              <c:numCache>
                <c:formatCode>#,##0</c:formatCode>
                <c:ptCount val="6"/>
                <c:pt idx="0">
                  <c:v>26314.638999999996</c:v>
                </c:pt>
                <c:pt idx="1">
                  <c:v>18422.437999999998</c:v>
                </c:pt>
                <c:pt idx="2">
                  <c:v>10671.993</c:v>
                </c:pt>
                <c:pt idx="3">
                  <c:v>11860.394999999908</c:v>
                </c:pt>
                <c:pt idx="4">
                  <c:v>9338.3769999997985</c:v>
                </c:pt>
                <c:pt idx="5">
                  <c:v>11310.532999999989</c:v>
                </c:pt>
              </c:numCache>
            </c:numRef>
          </c:val>
        </c:ser>
        <c:ser>
          <c:idx val="1"/>
          <c:order val="1"/>
          <c:tx>
            <c:strRef>
              <c:f>бюджет!$A$7</c:f>
              <c:strCache>
                <c:ptCount val="1"/>
                <c:pt idx="0">
                  <c:v>из бюджетов субъектов федерации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cat>
            <c:numRef>
              <c:f>бюджет!$B$5:$G$5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бюджет!$B$7:$G$7</c:f>
              <c:numCache>
                <c:formatCode>#,##0</c:formatCode>
                <c:ptCount val="6"/>
                <c:pt idx="0">
                  <c:v>11157.473</c:v>
                </c:pt>
                <c:pt idx="1">
                  <c:v>10613.121999999987</c:v>
                </c:pt>
                <c:pt idx="2">
                  <c:v>8028.9040000000005</c:v>
                </c:pt>
                <c:pt idx="3">
                  <c:v>13954.666999999868</c:v>
                </c:pt>
                <c:pt idx="4">
                  <c:v>14531.038</c:v>
                </c:pt>
                <c:pt idx="5">
                  <c:v>9001.1400000000049</c:v>
                </c:pt>
              </c:numCache>
            </c:numRef>
          </c:val>
        </c:ser>
        <c:ser>
          <c:idx val="2"/>
          <c:order val="2"/>
          <c:tx>
            <c:strRef>
              <c:f>бюджет!$A$8</c:f>
              <c:strCache>
                <c:ptCount val="1"/>
                <c:pt idx="0">
                  <c:v>из местных бюджетов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cat>
            <c:numRef>
              <c:f>бюджет!$B$5:$G$5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бюджет!$B$8:$G$8</c:f>
              <c:numCache>
                <c:formatCode>#,##0</c:formatCode>
                <c:ptCount val="6"/>
                <c:pt idx="0">
                  <c:v>2692.7879999999768</c:v>
                </c:pt>
                <c:pt idx="1">
                  <c:v>4795.009</c:v>
                </c:pt>
                <c:pt idx="2">
                  <c:v>4959.4789999999994</c:v>
                </c:pt>
                <c:pt idx="3">
                  <c:v>6889.0720000000001</c:v>
                </c:pt>
                <c:pt idx="4">
                  <c:v>4782.9630000000006</c:v>
                </c:pt>
                <c:pt idx="5">
                  <c:v>6103.9859999999999</c:v>
                </c:pt>
              </c:numCache>
            </c:numRef>
          </c:val>
        </c:ser>
        <c:overlap val="100"/>
        <c:axId val="161036544"/>
        <c:axId val="161046912"/>
      </c:barChart>
      <c:lineChart>
        <c:grouping val="stacked"/>
        <c:ser>
          <c:idx val="3"/>
          <c:order val="3"/>
          <c:tx>
            <c:strRef>
              <c:f>бюджет!$A$9</c:f>
              <c:strCache>
                <c:ptCount val="1"/>
                <c:pt idx="0">
                  <c:v>Всего бюджетных средств</c:v>
                </c:pt>
              </c:strCache>
            </c:strRef>
          </c:tx>
          <c:spPr>
            <a:ln w="41275">
              <a:solidFill>
                <a:schemeClr val="accent5">
                  <a:lumMod val="75000"/>
                </a:schemeClr>
              </a:solidFill>
            </a:ln>
          </c:spPr>
          <c:marker>
            <c:symbol val="diamond"/>
            <c:size val="2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6.6666666666666638E-2"/>
                  <c:y val="-5.5913978494623734E-2"/>
                </c:manualLayout>
              </c:layout>
              <c:showVal val="1"/>
            </c:dLbl>
            <c:dLbl>
              <c:idx val="1"/>
              <c:layout>
                <c:manualLayout>
                  <c:x val="-4.1666666666666664E-2"/>
                  <c:y val="-5.5913978494623734E-2"/>
                </c:manualLayout>
              </c:layout>
              <c:showVal val="1"/>
            </c:dLbl>
            <c:dLbl>
              <c:idx val="2"/>
              <c:layout>
                <c:manualLayout>
                  <c:x val="-4.7222222222222332E-2"/>
                  <c:y val="-6.4516129032258132E-2"/>
                </c:manualLayout>
              </c:layout>
              <c:showVal val="1"/>
            </c:dLbl>
            <c:dLbl>
              <c:idx val="3"/>
              <c:layout>
                <c:manualLayout>
                  <c:x val="-5.5555555555555455E-2"/>
                  <c:y val="-4.7311827956990099E-2"/>
                </c:manualLayout>
              </c:layout>
              <c:showVal val="1"/>
            </c:dLbl>
            <c:dLbl>
              <c:idx val="4"/>
              <c:layout>
                <c:manualLayout>
                  <c:x val="-4.1666666666666664E-2"/>
                  <c:y val="-5.1612903225806923E-2"/>
                </c:manualLayout>
              </c:layout>
              <c:showVal val="1"/>
            </c:dLbl>
            <c:dLbl>
              <c:idx val="5"/>
              <c:layout>
                <c:manualLayout>
                  <c:x val="-3.333333333333334E-2"/>
                  <c:y val="-4.301075268817204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бюджет!$B$5:$G$5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бюджет!$B$9:$G$9</c:f>
              <c:numCache>
                <c:formatCode>#,##0</c:formatCode>
                <c:ptCount val="6"/>
                <c:pt idx="0">
                  <c:v>40164.9</c:v>
                </c:pt>
                <c:pt idx="1">
                  <c:v>33830.569000000003</c:v>
                </c:pt>
                <c:pt idx="2">
                  <c:v>23660.376</c:v>
                </c:pt>
                <c:pt idx="3">
                  <c:v>32704.133999999896</c:v>
                </c:pt>
                <c:pt idx="4">
                  <c:v>28652.378000000001</c:v>
                </c:pt>
                <c:pt idx="5">
                  <c:v>26415.658999999996</c:v>
                </c:pt>
              </c:numCache>
            </c:numRef>
          </c:val>
        </c:ser>
        <c:marker val="1"/>
        <c:axId val="161036544"/>
        <c:axId val="161046912"/>
      </c:lineChart>
      <c:catAx>
        <c:axId val="161036544"/>
        <c:scaling>
          <c:orientation val="minMax"/>
        </c:scaling>
        <c:axPos val="b"/>
        <c:numFmt formatCode="General" sourceLinked="1"/>
        <c:tickLblPos val="nextTo"/>
        <c:crossAx val="161046912"/>
        <c:crosses val="autoZero"/>
        <c:auto val="1"/>
        <c:lblAlgn val="ctr"/>
        <c:lblOffset val="100"/>
      </c:catAx>
      <c:valAx>
        <c:axId val="161046912"/>
        <c:scaling>
          <c:orientation val="minMax"/>
        </c:scaling>
        <c:axPos val="l"/>
        <c:numFmt formatCode="#,##0" sourceLinked="1"/>
        <c:tickLblPos val="nextTo"/>
        <c:crossAx val="1610365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720576165092766E-2"/>
          <c:y val="0.8365803240112154"/>
          <c:w val="0.93708202099737536"/>
          <c:h val="0.13668038269409871"/>
        </c:manualLayout>
      </c:layout>
      <c:spPr>
        <a:ln>
          <a:noFill/>
        </a:ln>
      </c:sp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Лист3!$A$2</c:f>
              <c:strCache>
                <c:ptCount val="1"/>
                <c:pt idx="0">
                  <c:v>ТОП инорегиональных организаций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Лист3!$B$1:$G$1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Лист3!$B$2:$G$2</c:f>
              <c:numCache>
                <c:formatCode>#,##0</c:formatCode>
                <c:ptCount val="6"/>
                <c:pt idx="0">
                  <c:v>63.541396999999996</c:v>
                </c:pt>
                <c:pt idx="1">
                  <c:v>55.834554000000004</c:v>
                </c:pt>
                <c:pt idx="2">
                  <c:v>71.625255999999979</c:v>
                </c:pt>
                <c:pt idx="3">
                  <c:v>121.26061300000032</c:v>
                </c:pt>
                <c:pt idx="4">
                  <c:v>211.168961</c:v>
                </c:pt>
                <c:pt idx="5">
                  <c:v>234.500463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Республиканские организации 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Лист3!$B$1:$G$1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Лист3!$B$3:$G$3</c:f>
              <c:numCache>
                <c:formatCode>#,##0</c:formatCode>
                <c:ptCount val="6"/>
                <c:pt idx="0">
                  <c:v>99.948218999999995</c:v>
                </c:pt>
                <c:pt idx="1">
                  <c:v>102.30772399999999</c:v>
                </c:pt>
                <c:pt idx="2">
                  <c:v>101.451702</c:v>
                </c:pt>
                <c:pt idx="3">
                  <c:v>130.5682470000005</c:v>
                </c:pt>
                <c:pt idx="4">
                  <c:v>139.65639100000001</c:v>
                </c:pt>
                <c:pt idx="5">
                  <c:v>131.818152</c:v>
                </c:pt>
              </c:numCache>
            </c:numRef>
          </c:val>
        </c:ser>
        <c:overlap val="100"/>
        <c:axId val="159591808"/>
        <c:axId val="159618176"/>
      </c:barChart>
      <c:catAx>
        <c:axId val="159591808"/>
        <c:scaling>
          <c:orientation val="minMax"/>
        </c:scaling>
        <c:axPos val="b"/>
        <c:numFmt formatCode="General" sourceLinked="1"/>
        <c:tickLblPos val="nextTo"/>
        <c:crossAx val="159618176"/>
        <c:crosses val="autoZero"/>
        <c:auto val="1"/>
        <c:lblAlgn val="ctr"/>
        <c:lblOffset val="100"/>
      </c:catAx>
      <c:valAx>
        <c:axId val="159618176"/>
        <c:scaling>
          <c:orientation val="minMax"/>
        </c:scaling>
        <c:axPos val="l"/>
        <c:numFmt formatCode="#,##0" sourceLinked="1"/>
        <c:tickLblPos val="nextTo"/>
        <c:crossAx val="159591808"/>
        <c:crosses val="autoZero"/>
        <c:crossBetween val="between"/>
      </c:valAx>
    </c:plotArea>
    <c:legend>
      <c:legendPos val="b"/>
      <c:spPr>
        <a:ln>
          <a:noFill/>
        </a:ln>
      </c:spPr>
    </c:legend>
    <c:plotVisOnly val="1"/>
  </c:chart>
  <c:spPr>
    <a:ln>
      <a:noFill/>
    </a:ln>
  </c:spPr>
  <c:externalData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0.2547</cdr:x>
      <cdr:y>0.1582</cdr:y>
    </cdr:from>
    <cdr:to>
      <cdr:x>0.50268</cdr:x>
      <cdr:y>0.23899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786021" y="467138"/>
          <a:ext cx="765312" cy="23854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прочие; 7,6</a:t>
          </a:r>
        </a:p>
      </cdr:txBody>
    </cdr:sp>
  </cdr:relSizeAnchor>
  <cdr:relSizeAnchor xmlns:cdr="http://schemas.openxmlformats.org/drawingml/2006/chartDrawing">
    <cdr:from>
      <cdr:x>0.63795</cdr:x>
      <cdr:y>0.66985</cdr:y>
    </cdr:from>
    <cdr:to>
      <cdr:x>0.93102</cdr:x>
      <cdr:y>0.87181</cdr:y>
    </cdr:to>
    <cdr:sp macro="" textlink="">
      <cdr:nvSpPr>
        <cdr:cNvPr id="5" name="Прямоугольник 10"/>
        <cdr:cNvSpPr/>
      </cdr:nvSpPr>
      <cdr:spPr>
        <a:xfrm xmlns:a="http://schemas.openxmlformats.org/drawingml/2006/main">
          <a:off x="1968776" y="1977887"/>
          <a:ext cx="904460" cy="59634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здания(кроме жилых) и сооружения; 53,6</a:t>
          </a:r>
        </a:p>
      </cdr:txBody>
    </cdr:sp>
  </cdr:relSizeAnchor>
  <cdr:relSizeAnchor xmlns:cdr="http://schemas.openxmlformats.org/drawingml/2006/chartDrawing">
    <cdr:from>
      <cdr:x>0.49302</cdr:x>
      <cdr:y>0.15484</cdr:y>
    </cdr:from>
    <cdr:to>
      <cdr:x>0.7861</cdr:x>
      <cdr:y>0.24909</cdr:y>
    </cdr:to>
    <cdr:sp macro="" textlink="">
      <cdr:nvSpPr>
        <cdr:cNvPr id="12" name="Прямоугольник 10"/>
        <cdr:cNvSpPr/>
      </cdr:nvSpPr>
      <cdr:spPr>
        <a:xfrm xmlns:a="http://schemas.openxmlformats.org/drawingml/2006/main">
          <a:off x="1521516" y="457199"/>
          <a:ext cx="904460" cy="2782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жилища; 7,8</a:t>
          </a:r>
        </a:p>
      </cdr:txBody>
    </cdr:sp>
  </cdr:relSizeAnchor>
  <cdr:relSizeAnchor xmlns:cdr="http://schemas.openxmlformats.org/drawingml/2006/chartDrawing">
    <cdr:from>
      <cdr:x>0.03221</cdr:x>
      <cdr:y>0.61599</cdr:y>
    </cdr:from>
    <cdr:to>
      <cdr:x>0.35776</cdr:x>
      <cdr:y>0.83815</cdr:y>
    </cdr:to>
    <cdr:sp macro="" textlink="">
      <cdr:nvSpPr>
        <cdr:cNvPr id="13" name="Прямоугольник 10"/>
        <cdr:cNvSpPr/>
      </cdr:nvSpPr>
      <cdr:spPr>
        <a:xfrm xmlns:a="http://schemas.openxmlformats.org/drawingml/2006/main">
          <a:off x="99392" y="1818874"/>
          <a:ext cx="1004680" cy="65597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машины, обо-рудование, хо-зяйственный инвентарь; 30,9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0.60954</cdr:x>
      <cdr:y>0.10916</cdr:y>
    </cdr:from>
    <cdr:to>
      <cdr:x>0.94278</cdr:x>
      <cdr:y>0.23759</cdr:y>
    </cdr:to>
    <cdr:sp macro="" textlink="">
      <cdr:nvSpPr>
        <cdr:cNvPr id="6" name="Прямоугольник 1"/>
        <cdr:cNvSpPr/>
      </cdr:nvSpPr>
      <cdr:spPr>
        <a:xfrm xmlns:a="http://schemas.openxmlformats.org/drawingml/2006/main">
          <a:off x="1799811" y="337918"/>
          <a:ext cx="983974" cy="39757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жилые здания и помещения;</a:t>
          </a:r>
          <a:r>
            <a:rPr lang="ru-RU" sz="900" baseline="0">
              <a:solidFill>
                <a:sysClr val="windowText" lastClr="000000"/>
              </a:solidFill>
            </a:rPr>
            <a:t> 6,9</a:t>
          </a:r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0.58597</cdr:x>
      <cdr:y>0.67425</cdr:y>
    </cdr:from>
    <cdr:to>
      <cdr:x>0.90575</cdr:x>
      <cdr:y>0.87652</cdr:y>
    </cdr:to>
    <cdr:sp macro="" textlink="">
      <cdr:nvSpPr>
        <cdr:cNvPr id="7" name="Прямоугольник 2"/>
        <cdr:cNvSpPr/>
      </cdr:nvSpPr>
      <cdr:spPr>
        <a:xfrm xmlns:a="http://schemas.openxmlformats.org/drawingml/2006/main">
          <a:off x="1730236" y="2087218"/>
          <a:ext cx="944219" cy="62616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здания</a:t>
          </a:r>
          <a:r>
            <a:rPr lang="ru-RU" sz="900" baseline="0">
              <a:solidFill>
                <a:sysClr val="windowText" lastClr="000000"/>
              </a:solidFill>
            </a:rPr>
            <a:t> (кроме жилых) и сооружения; 62,1</a:t>
          </a:r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0.0202</cdr:x>
      <cdr:y>0.52656</cdr:y>
    </cdr:from>
    <cdr:to>
      <cdr:x>0.34362</cdr:x>
      <cdr:y>0.7192</cdr:y>
    </cdr:to>
    <cdr:sp macro="" textlink="">
      <cdr:nvSpPr>
        <cdr:cNvPr id="8" name="Прямоугольник 3"/>
        <cdr:cNvSpPr/>
      </cdr:nvSpPr>
      <cdr:spPr>
        <a:xfrm xmlns:a="http://schemas.openxmlformats.org/drawingml/2006/main">
          <a:off x="59634" y="1630025"/>
          <a:ext cx="954978" cy="59634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>
            <a:alpha val="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машины и оборудование,</a:t>
          </a:r>
          <a:r>
            <a:rPr lang="ru-RU" sz="900" baseline="0">
              <a:solidFill>
                <a:sysClr val="windowText" lastClr="000000"/>
              </a:solidFill>
            </a:rPr>
            <a:t> хозяйственный инвентарь; 25,3</a:t>
          </a:r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0.45133</cdr:x>
      <cdr:y>0.08669</cdr:y>
    </cdr:from>
    <cdr:to>
      <cdr:x>0.64348</cdr:x>
      <cdr:y>0.19264</cdr:y>
    </cdr:to>
    <cdr:sp macro="" textlink="">
      <cdr:nvSpPr>
        <cdr:cNvPr id="9" name="Прямоугольник 4"/>
        <cdr:cNvSpPr/>
      </cdr:nvSpPr>
      <cdr:spPr>
        <a:xfrm xmlns:a="http://schemas.openxmlformats.org/drawingml/2006/main">
          <a:off x="1332672" y="268347"/>
          <a:ext cx="567359" cy="32800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>
            <a:alpha val="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прочие;</a:t>
          </a:r>
          <a:r>
            <a:rPr lang="ru-RU" sz="900" baseline="0">
              <a:solidFill>
                <a:sysClr val="windowText" lastClr="000000"/>
              </a:solidFill>
            </a:rPr>
            <a:t> 2,9</a:t>
          </a:r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0.07433</cdr:x>
      <cdr:y>0.05458</cdr:y>
    </cdr:from>
    <cdr:to>
      <cdr:x>0.4648</cdr:x>
      <cdr:y>0.21191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219490" y="168965"/>
          <a:ext cx="1152938" cy="48701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>
            <a:alpha val="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объекты интеллектуальной собственности;</a:t>
          </a:r>
          <a:r>
            <a:rPr lang="ru-RU" sz="900" baseline="0">
              <a:solidFill>
                <a:sysClr val="windowText" lastClr="000000"/>
              </a:solidFill>
            </a:rPr>
            <a:t> 2,8</a:t>
          </a:r>
          <a:endParaRPr lang="ru-RU" sz="900">
            <a:solidFill>
              <a:sysClr val="windowText" lastClr="000000"/>
            </a:solidFill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12A5226DC14680B9C1A58088793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7B86E-FC49-4A97-8AA8-B2277124DB56}"/>
      </w:docPartPr>
      <w:docPartBody>
        <w:p w:rsidR="004F3459" w:rsidRDefault="004F3459" w:rsidP="004F3459">
          <w:pPr>
            <w:pStyle w:val="7E12A5226DC14680B9C1A58088793348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F3459"/>
    <w:rsid w:val="00024846"/>
    <w:rsid w:val="00131AE9"/>
    <w:rsid w:val="001B7EA1"/>
    <w:rsid w:val="001C68D3"/>
    <w:rsid w:val="001E7F9C"/>
    <w:rsid w:val="00330985"/>
    <w:rsid w:val="003C770B"/>
    <w:rsid w:val="00407070"/>
    <w:rsid w:val="00476EC7"/>
    <w:rsid w:val="004B1727"/>
    <w:rsid w:val="004F3459"/>
    <w:rsid w:val="00521BB4"/>
    <w:rsid w:val="00531006"/>
    <w:rsid w:val="005416DE"/>
    <w:rsid w:val="005A035D"/>
    <w:rsid w:val="005B2184"/>
    <w:rsid w:val="006A525A"/>
    <w:rsid w:val="006C6D09"/>
    <w:rsid w:val="006D1644"/>
    <w:rsid w:val="00712AB8"/>
    <w:rsid w:val="00791CE3"/>
    <w:rsid w:val="00795819"/>
    <w:rsid w:val="00840F14"/>
    <w:rsid w:val="00885F2C"/>
    <w:rsid w:val="008A6483"/>
    <w:rsid w:val="009031D6"/>
    <w:rsid w:val="00933AF7"/>
    <w:rsid w:val="009618B2"/>
    <w:rsid w:val="009B413A"/>
    <w:rsid w:val="00A07000"/>
    <w:rsid w:val="00A645E4"/>
    <w:rsid w:val="00B04B5F"/>
    <w:rsid w:val="00B74023"/>
    <w:rsid w:val="00B815AF"/>
    <w:rsid w:val="00BF11F5"/>
    <w:rsid w:val="00CD6D7D"/>
    <w:rsid w:val="00DE17DA"/>
    <w:rsid w:val="00DF3E29"/>
    <w:rsid w:val="00E02DEE"/>
    <w:rsid w:val="00E22CB6"/>
    <w:rsid w:val="00E352A4"/>
    <w:rsid w:val="00E869B6"/>
    <w:rsid w:val="00EC517E"/>
    <w:rsid w:val="00F51074"/>
    <w:rsid w:val="00FA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12A5226DC14680B9C1A58088793348">
    <w:name w:val="7E12A5226DC14680B9C1A58088793348"/>
    <w:rsid w:val="004F34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90DD-CE19-46FB-892D-7B449C66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9227</TotalTime>
  <Pages>12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Инвестиционная деятельность в Республике Саха (Якутия) за 2013-2018 гг.</vt:lpstr>
    </vt:vector>
  </TitlesOfParts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деятельность в Республике Саха (Якутия) за 2013-2018 гг.</dc:title>
  <dc:subject/>
  <dc:creator>P14_IgnatievaES</dc:creator>
  <cp:keywords/>
  <dc:description/>
  <cp:lastModifiedBy>P14_IgnatievaES</cp:lastModifiedBy>
  <cp:revision>471</cp:revision>
  <cp:lastPrinted>2019-11-21T00:23:00Z</cp:lastPrinted>
  <dcterms:created xsi:type="dcterms:W3CDTF">2019-06-17T02:33:00Z</dcterms:created>
  <dcterms:modified xsi:type="dcterms:W3CDTF">2019-11-25T01:53:00Z</dcterms:modified>
</cp:coreProperties>
</file>